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</w:pPr>
      <w:r>
        <w:rPr>
          <w:rFonts w:ascii="Calibri" w:hAnsi="Calibri" w:eastAsia="Calibri"/>
          <w:b/>
          <w:color w:val="1F4E78"/>
          <w:sz w:val="36"/>
        </w:rPr>
        <w:t>MA TRẬN USE CASE – ACTOR</w:t>
      </w:r>
    </w:p>
    <w:p>
      <w:pPr>
        <w:keepNext/>
        <w:spacing w:before="0" w:after="120"/>
      </w:pPr>
      <w:r>
        <w:rPr>
          <w:rFonts w:ascii="Calibri" w:hAnsi="Calibri" w:eastAsia="Calibri"/>
          <w:b w:val="0"/>
          <w:color w:val="59626C"/>
          <w:sz w:val="18"/>
        </w:rPr>
        <w:t>Hệ thống quản lý hoạt động nghiên cứu khoa học cấp trường · 72 use case · 7 actor</w:t>
      </w:r>
    </w:p>
    <w:tbl>
      <w:tblPr>
        <w:tblStyle w:val="TableGrid"/>
        <w:tblW w:type="dxa" w:w="15634"/>
        <w:jc w:val="left"/>
        <w:tblLayout w:type="fixed"/>
        <w:tblLook w:firstColumn="1" w:firstRow="1" w:lastColumn="0" w:lastRow="0" w:noHBand="0" w:noVBand="1" w:val="04A0"/>
        <w:tblInd w:type="dxa" w:w="70"/>
      </w:tblPr>
      <w:tblGrid>
        <w:gridCol w:w="1067"/>
        <w:gridCol w:w="5305"/>
        <w:gridCol w:w="1111"/>
        <w:gridCol w:w="1111"/>
        <w:gridCol w:w="1334"/>
        <w:gridCol w:w="1334"/>
        <w:gridCol w:w="1408"/>
        <w:gridCol w:w="1482"/>
        <w:gridCol w:w="1482"/>
      </w:tblGrid>
      <w:tr>
        <w:trPr>
          <w:tblHeader w:val="true"/>
          <w:cantSplit/>
        </w:trPr>
        <w:tc>
          <w:tcPr>
            <w:tcW w:type="dxa" w:w="1067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Mã</w:t>
            </w:r>
          </w:p>
        </w:tc>
        <w:tc>
          <w:tcPr>
            <w:tcW w:type="dxa" w:w="5305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Use case chi tiết</w:t>
            </w:r>
          </w:p>
        </w:tc>
        <w:tc>
          <w:tcPr>
            <w:tcW w:type="dxa" w:w="1111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Giảng viên</w:t>
            </w:r>
          </w:p>
        </w:tc>
        <w:tc>
          <w:tcPr>
            <w:tcW w:type="dxa" w:w="1111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Sinh viên</w:t>
            </w:r>
          </w:p>
        </w:tc>
        <w:tc>
          <w:tcPr>
            <w:tcW w:type="dxa" w:w="1334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Cán bộ phụ trách</w:t>
            </w:r>
            <w:r>
              <w:br/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Khoa</w:t>
            </w:r>
          </w:p>
        </w:tc>
        <w:tc>
          <w:tcPr>
            <w:tcW w:type="dxa" w:w="1334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Cán bộ phụ trách</w:t>
            </w:r>
            <w:r>
              <w:br/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P.KHCN</w:t>
            </w:r>
          </w:p>
        </w:tc>
        <w:tc>
          <w:tcPr>
            <w:tcW w:type="dxa" w:w="1408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Thành viên HĐ xét duyệt</w:t>
            </w:r>
            <w:r>
              <w:br/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hồ sơ</w:t>
            </w:r>
          </w:p>
        </w:tc>
        <w:tc>
          <w:tcPr>
            <w:tcW w:type="dxa" w:w="1482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Thành viên HĐ xét duyệt</w:t>
            </w:r>
            <w:r>
              <w:br/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thuyết minh</w:t>
            </w:r>
          </w:p>
        </w:tc>
        <w:tc>
          <w:tcPr>
            <w:tcW w:type="dxa" w:w="1482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Thành viên HĐ nghiệm thu</w:t>
            </w:r>
            <w:r>
              <w:br/>
            </w:r>
            <w:r>
              <w:rPr>
                <w:rFonts w:ascii="Calibri" w:hAnsi="Calibri" w:eastAsia="Calibri"/>
                <w:b/>
                <w:color w:val="FFFFFF"/>
                <w:sz w:val="14"/>
              </w:rPr>
              <w:t>đề tài</w:t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UC-DOT-01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Tạo và cấu hình đợt đăng ký tuyển chọn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UC-DOT-02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Công bố đợt đăng ký tuyển chọn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UC-DOT-03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Điều chỉnh hoặc đóng đợt tuyển chọn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UC-DOT-04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Tạo đợt và lập danh mục đề tài giao trực tiếp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UC-DOT-05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Công bố đợt đăng ký giao trực tiếp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UC-DOT-06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Điều chỉnh hoặc đóng đợt giao trực tiếp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UC-DK-01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Lập hồ sơ đăng ký đề tài giảng viên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UC-DK-02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Lập hồ sơ đăng ký đề tài sinh viên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UC-DK-03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Cập nhật và lưu nháp hồ sơ đăng ký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UC-DK-04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Nộp hồ sơ đăng ký tuyển chọn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UC-DK-05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Nộp hồ sơ đăng ký giao trực tiếp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UC-DK-06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Sinh và tải Phiếu đăng ký BM01A/B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UC-DK-07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Tải bản BM01 đã ký tay và gửi cấp tiếp theo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UC-DK-08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Theo dõi trạng thái và lịch sử hồ sơ đăng ký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UC-DK-09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Chỉnh sửa và nộp lại hồ sơ chưa đạt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UC-DK-10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Tiếp nhận và xem hồ sơ đăng ký sinh viên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UC-DK-11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Yêu cầu sinh viên chỉnh sửa đăng ký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UC-DK-12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Duyệt, ký và chuyển đăng ký sinh viên đến P.KHCN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UC-DK-13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Tiếp nhận và xem hồ sơ đăng ký giảng viên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UC-DK-14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Yêu cầu giảng viên chỉnh sửa đăng ký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UC-DK-15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Duyệt, ký và chuyển đăng ký giảng viên đến P.KHCN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UC-XDSB-01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Tiếp nhận và kiểm tra hồ sơ đăng ký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UC-XDSB-02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Thành lập/ghi nhận Hội đồng xét duyệt đề xuất và phân công đề tài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UC-XDSB-03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Mở hồ sơ được phân công đánh giá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UC-XDSB-04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Lập Phiếu nhận xét đề xuất BM02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UC-XDSB-05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Sinh, ký tay và nộp BM02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UC-XDSB-06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Theo dõi tình trạng hoàn tất các phiếu BM02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UC-XDSB-07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Lập Biên bản họp xét duyệt đề xuất BM03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UC-XDSB-08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Chuyển BM03 cho Khoa ký và tải bản đã ký lên hệ thống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UC-XDSB-09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Ghi nhận kết luận sơ bộ và xử lý hồ sơ chưa đạt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UC-XDSB-10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Đóng băng hồ sơ đề xuất đã đạt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UC-TM-01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Tải lên file thuyết minh BM04A/B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UC-TM-02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Lưu phiên bản và nộp thuyết minh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UC-TM-03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Chỉnh sửa và nộp lại thuyết minh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UC-TM-04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Theo dõi trạng thái xét duyệt thuyết minh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UC-TM-05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Tiếp nhận và kiểm tra file thuyết minh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UC-TM-06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Đăng thông báo kèm Quyết định BM05 đã lập bên ngoài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UC-TM-07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Nhập Hội đồng và phân công đánh giá thuyết minh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UC-TM-08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Mở thuyết minh được phân công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UC-TM-09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Chấm điểm và nhận xét thuyết minh BM06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UC-TM-10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Sinh, ký tay và nộp BM06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UC-TM-11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Theo dõi 100% phiếu BM06 hoàn tất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UC-TM-12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Lập Biên bản họp xét duyệt thuyết minh BM07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UC-TM-13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Chuyển BM07 cho Khoa ký và tải bản đã ký lên hệ thống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UC-TM-14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Ghi nhận kết luận và yêu cầu điều chỉnh thuyết minh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UC-TM-15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Đính kèm quyết định giao nhiệm vụ và hợp đồng đã xử lý ngoài hệ thống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UC-TD-01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Lập hoặc tải lên Báo cáo tiến độ BM08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UC-TD-02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Sinh BM08 từ dữ liệu hệ thống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UC-TD-03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Ký tay và nộp báo cáo tiến độ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UC-TD-04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Xác nhận báo cáo tiến độ của đơn vị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UC-TD-05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Tiếp nhận, kiểm tra và lưu báo cáo tiến độ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UC-TD-06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Yêu cầu chỉnh sửa và tiếp nhận bản tiến độ nộp lại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UC-NT-01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Lập hoặc tải lên báo cáo tổng kết theo BM09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UC-NT-02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Tải lên sản phẩm và thành phần hồ sơ nghiệm thu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UC-NT-03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Nộp hồ sơ nghiệm thu và theo dõi trạng thái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UC-NT-04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Tiếp nhận và kiểm tra hồ sơ nghiệm thu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UC-NT-05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Đăng thông báo kèm Quyết định BM10 đã lập bên ngoài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UC-NT-06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Nhập Hội đồng nghiệm thu và phân công đánh giá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UC-NT-07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Mở hồ sơ nghiệm thu được phân công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UC-NT-08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Đánh giá kết quả thực hiện trên BM11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UC-NT-09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Sinh, ký tay và nộp BM11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UC-NT-10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Theo dõi tình trạng hoàn tất các phiếu BM11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UC-NT-11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Lập Biên bản họp đánh giá, nghiệm thu BM12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UC-NT-12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Chuyển BM12 cho Khoa ký và tải bản đã ký lên hệ thống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UC-KQ-01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Tạo yêu cầu chỉnh sửa sau nghiệm thu từ BM12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UC-KQ-02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Lập giải trình chỉnh sửa BM13 và đính kèm bản sửa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UC-KQ-03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Sinh, ký và nộp BM13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UC-KQ-04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Kiểm tra việc hoàn tất chỉnh sửa sau nghiệm thu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UC-KQ-05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Đăng thông báo kèm Quyết định công nhận BM15 đã lập bên ngoài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UC-KQ-06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Ghi nhận đề tài được công nhận kết quả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UC-KQ-07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Ghi nhận đề xuất và tình trạng triển khai ứng dụng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UC-ST-01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Tra cứu số tiết NCKH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567" w:right="567" w:bottom="567" w:left="56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6B7280"/>
        <w:sz w:val="16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 w:val="0"/>
        <w:color w:val="6B7280"/>
        <w:sz w:val="16"/>
      </w:rPr>
      <w:t>Ma trận use case – actor | Hệ thống quản lý hoạt động NCKH cấp trường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 trận use case – actor</dc:title>
  <dc:subject>Hệ thống quản lý hoạt động nghiên cứu khoa học cấp trường</dc:subject>
  <dc:creator>Mary – Business Analyst</dc:creator>
  <cp:keywords>use case, actor, NCKH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