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8"/>
        </w:rPr>
        <w:t>Benchmarking speech models on Nigerian code-switched audio</w:t>
      </w:r>
    </w:p>
    <w:p>
      <w:r>
        <w:rPr>
          <w:i w:val="0"/>
          <w:sz w:val="18"/>
        </w:rPr>
        <w:t>Sahara CodeSwitch Africa — benchmark report for Noba, an A I customer care agent serving a Nigerian bank and a telecom company. Five ASR models and three TTS models, scored on the same 16 code-switched clips.</w:t>
      </w:r>
    </w:p>
    <w:p>
      <w:pPr>
        <w:spacing w:before="160" w:after="60"/>
      </w:pPr>
      <w:r>
        <w:rPr>
          <w:b/>
          <w:color w:val="1A1A1A"/>
          <w:sz w:val="24"/>
        </w:rPr>
        <w:t>1. Data</w:t>
      </w:r>
    </w:p>
    <w:p>
      <w:r>
        <w:rPr>
          <w:i w:val="0"/>
          <w:sz w:val="18"/>
        </w:rPr>
        <w:t>Source: intronhealth/AfriSwitch on HuggingFace, a gated corpus of genuinely code-switched Nigerian speech. 16 clips, four each in Hausa, Igbo, Nigerian Pidgin and Yoruba. Every clip mixes English with the named language inside a single utterance — that is the point of the set, and it is why a monolingual model cannot score well on it by accident. Total roughly 3 minutes of audio; clip length runs from about 5 to 30 seconds.</w:t>
      </w:r>
    </w:p>
    <w:p>
      <w:r>
        <w:rPr>
          <w:i w:val="0"/>
          <w:sz w:val="18"/>
        </w:rPr>
        <w:t>Preprocessing: audio loaded undecoded from the HuggingFace dataset and written to 16 kHz mono PCM16 WAV with soundfile, because the torchcodec path the datasets library defaults to was not available. No denoising, no trimming, no loudness normalisation — the models see what a phone line would deliver. Reference transcripts are the dataset's own, used verbatim.</w:t>
      </w:r>
    </w:p>
    <w:p>
      <w:r>
        <w:rPr>
          <w:i w:val="0"/>
          <w:sz w:val="18"/>
        </w:rPr>
        <w:t>Normalisation for scoring: lowercase, strip punctuation, collapse whitespace. WER and CER are reported both normalised and raw, so a model is not rewarded or punished for its punctuation habits alone.</w:t>
      </w:r>
    </w:p>
    <w:p>
      <w:r>
        <w:rPr>
          <w:i/>
          <w:sz w:val="18"/>
        </w:rPr>
        <w:t>The 16 clips are published at huggingface.co/datasets/yusasif/intron-stt_tts-benchmark with transcripts, language codes, and a used_in column tying each clip to the results file it appears in.</w:t>
      </w:r>
    </w:p>
    <w:p>
      <w:pPr>
        <w:spacing w:before="160" w:after="60"/>
      </w:pPr>
      <w:r>
        <w:rPr>
          <w:b/>
          <w:color w:val="1A1A1A"/>
          <w:sz w:val="24"/>
        </w:rPr>
        <w:t>2. Metrics, and why these</w:t>
      </w:r>
    </w:p>
    <w:p>
      <w:r>
        <w:rPr>
          <w:i w:val="0"/>
          <w:sz w:val="18"/>
        </w:rPr>
        <w:t>WER is the standard, but on code-switched speech it flatters a model that deletes what it cannot handle: dropping a Yoruba clause costs the same as mis-hearing it, and silence scores better than a wrong guess. So CER runs alongside it. A model that heard roughly the right sounds and spelt them badly gets a poor WER and a decent CER; a model that dropped the clause gets both bad. That gap is the diagnostic.</w:t>
      </w:r>
    </w:p>
    <w:p>
      <w:r>
        <w:rPr>
          <w:i w:val="0"/>
          <w:sz w:val="18"/>
        </w:rPr>
        <w:t>Critical-term recall is the third measure and the one that matters for an agent. It is the fraction of decision-carrying words in the reference — amounts, actions, account terms — that survived into the transcript. An agent does not need a perfect transcript; it needs the words that determine which tool it calls. A model can post a mediocre WER and still be safe to act on, or a fair WER and be useless.</w:t>
      </w:r>
    </w:p>
    <w:p>
      <w:r>
        <w:rPr>
          <w:i w:val="0"/>
          <w:sz w:val="18"/>
        </w:rPr>
        <w:t>TTS is scored by round trip: synthesise the reference text, transcribe the result with a fixed independent ASR (ElevenLabs Scribe, chosen because it led the ASR table and is not one of the systems under test), then compare. Hallucination is content in the transcript that was not in the input; transcript loss is input that never came back; a segment counts as lost when under a quarter of the reference survives. This measures intelligibility, which is what a caller experiences, rather than mean opinion score.</w:t>
      </w:r>
    </w:p>
    <w:p>
      <w:pPr>
        <w:spacing w:before="160" w:after="60"/>
      </w:pPr>
      <w:r>
        <w:rPr>
          <w:b/>
          <w:color w:val="1A1A1A"/>
          <w:sz w:val="24"/>
        </w:rPr>
        <w:t>3. ASR results — WER / CER per language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304"/>
          </w:tcPr>
          <w:p>
            <w:pPr>
              <w:spacing w:after="0"/>
              <w:jc w:val="left"/>
            </w:pPr>
            <w:r/>
            <w:r>
              <w:rPr>
                <w:b/>
                <w:sz w:val="17"/>
              </w:rPr>
              <w:t>Model</w:t>
            </w:r>
          </w:p>
        </w:tc>
        <w:tc>
          <w:tcPr>
            <w:tcW w:type="dxa" w:w="1584"/>
          </w:tcPr>
          <w:p>
            <w:pPr>
              <w:jc w:val="center"/>
            </w:pPr>
            <w:r/>
            <w:r>
              <w:rPr>
                <w:b/>
                <w:sz w:val="17"/>
              </w:rPr>
              <w:t>Hausa</w:t>
            </w:r>
          </w:p>
        </w:tc>
        <w:tc>
          <w:tcPr>
            <w:tcW w:type="dxa" w:w="1584"/>
          </w:tcPr>
          <w:p>
            <w:pPr>
              <w:jc w:val="center"/>
            </w:pPr>
            <w:r/>
            <w:r>
              <w:rPr>
                <w:b/>
                <w:sz w:val="17"/>
              </w:rPr>
              <w:t>Igbo</w:t>
            </w:r>
          </w:p>
        </w:tc>
        <w:tc>
          <w:tcPr>
            <w:tcW w:type="dxa" w:w="1584"/>
          </w:tcPr>
          <w:p>
            <w:pPr>
              <w:jc w:val="center"/>
            </w:pPr>
            <w:r/>
            <w:r>
              <w:rPr>
                <w:b/>
                <w:sz w:val="17"/>
              </w:rPr>
              <w:t>Pidgin</w:t>
            </w:r>
          </w:p>
        </w:tc>
        <w:tc>
          <w:tcPr>
            <w:tcW w:type="dxa" w:w="1584"/>
          </w:tcPr>
          <w:p>
            <w:pPr>
              <w:jc w:val="center"/>
            </w:pPr>
            <w:r/>
            <w:r>
              <w:rPr>
                <w:b/>
                <w:sz w:val="17"/>
              </w:rPr>
              <w:t>Yoruba</w:t>
            </w:r>
          </w:p>
        </w:tc>
        <w:tc>
          <w:tcPr>
            <w:tcW w:type="dxa" w:w="1728"/>
          </w:tcPr>
          <w:p>
            <w:pPr>
              <w:jc w:val="center"/>
            </w:pPr>
            <w:r/>
            <w:r>
              <w:rPr>
                <w:b/>
                <w:sz w:val="17"/>
              </w:rPr>
              <w:t>Overall</w:t>
            </w:r>
          </w:p>
        </w:tc>
      </w:tr>
      <w:tr>
        <w:tc>
          <w:tcPr>
            <w:tcW w:type="dxa" w:w="2304"/>
          </w:tcPr>
          <w:p>
            <w:pPr>
              <w:jc w:val="left"/>
            </w:pPr>
            <w:r/>
            <w:r>
              <w:rPr>
                <w:b/>
                <w:sz w:val="17"/>
              </w:rPr>
              <w:t>ElevenLabs Scribe</w:t>
            </w:r>
          </w:p>
        </w:tc>
        <w:tc>
          <w:tcPr>
            <w:tcW w:type="dxa" w:w="1584"/>
          </w:tcPr>
          <w:p>
            <w:pPr>
              <w:jc w:val="center"/>
            </w:pPr>
            <w:r/>
            <w:r>
              <w:rPr>
                <w:sz w:val="17"/>
              </w:rPr>
              <w:t>0.33 / 0.11</w:t>
            </w:r>
          </w:p>
        </w:tc>
        <w:tc>
          <w:tcPr>
            <w:tcW w:type="dxa" w:w="1584"/>
          </w:tcPr>
          <w:p>
            <w:pPr>
              <w:jc w:val="center"/>
            </w:pPr>
            <w:r/>
            <w:r>
              <w:rPr>
                <w:sz w:val="17"/>
              </w:rPr>
              <w:t>0.46 / 0.18</w:t>
            </w:r>
          </w:p>
        </w:tc>
        <w:tc>
          <w:tcPr>
            <w:tcW w:type="dxa" w:w="1584"/>
          </w:tcPr>
          <w:p>
            <w:pPr>
              <w:jc w:val="center"/>
            </w:pPr>
            <w:r/>
            <w:r>
              <w:rPr>
                <w:sz w:val="17"/>
              </w:rPr>
              <w:t>0.28 / 0.17</w:t>
            </w:r>
          </w:p>
        </w:tc>
        <w:tc>
          <w:tcPr>
            <w:tcW w:type="dxa" w:w="1584"/>
          </w:tcPr>
          <w:p>
            <w:pPr>
              <w:jc w:val="center"/>
            </w:pPr>
            <w:r/>
            <w:r>
              <w:rPr>
                <w:sz w:val="17"/>
              </w:rPr>
              <w:t>0.90 / 0.38</w:t>
            </w:r>
          </w:p>
        </w:tc>
        <w:tc>
          <w:tcPr>
            <w:tcW w:type="dxa" w:w="1728"/>
          </w:tcPr>
          <w:p>
            <w:pPr>
              <w:jc w:val="center"/>
            </w:pPr>
            <w:r/>
            <w:r>
              <w:rPr>
                <w:sz w:val="17"/>
              </w:rPr>
              <w:t>0.49 / 0.21</w:t>
            </w:r>
          </w:p>
        </w:tc>
      </w:tr>
      <w:tr>
        <w:tc>
          <w:tcPr>
            <w:tcW w:type="dxa" w:w="2304"/>
          </w:tcPr>
          <w:p>
            <w:pPr>
              <w:jc w:val="left"/>
            </w:pPr>
            <w:r/>
            <w:r>
              <w:rPr>
                <w:b/>
                <w:sz w:val="17"/>
              </w:rPr>
              <w:t>Intron / Sahara</w:t>
            </w:r>
          </w:p>
        </w:tc>
        <w:tc>
          <w:tcPr>
            <w:tcW w:type="dxa" w:w="1584"/>
          </w:tcPr>
          <w:p>
            <w:pPr>
              <w:jc w:val="center"/>
            </w:pPr>
            <w:r/>
            <w:r>
              <w:rPr>
                <w:sz w:val="17"/>
              </w:rPr>
              <w:t>0.40 / 0.24</w:t>
            </w:r>
          </w:p>
        </w:tc>
        <w:tc>
          <w:tcPr>
            <w:tcW w:type="dxa" w:w="1584"/>
          </w:tcPr>
          <w:p>
            <w:pPr>
              <w:jc w:val="center"/>
            </w:pPr>
            <w:r/>
            <w:r>
              <w:rPr>
                <w:sz w:val="17"/>
              </w:rPr>
              <w:t>0.55 / 0.25</w:t>
            </w:r>
          </w:p>
        </w:tc>
        <w:tc>
          <w:tcPr>
            <w:tcW w:type="dxa" w:w="1584"/>
          </w:tcPr>
          <w:p>
            <w:pPr>
              <w:jc w:val="center"/>
            </w:pPr>
            <w:r/>
            <w:r>
              <w:rPr>
                <w:sz w:val="17"/>
              </w:rPr>
              <w:t>0.31 / 0.17</w:t>
            </w:r>
          </w:p>
        </w:tc>
        <w:tc>
          <w:tcPr>
            <w:tcW w:type="dxa" w:w="1584"/>
          </w:tcPr>
          <w:p>
            <w:pPr>
              <w:jc w:val="center"/>
            </w:pPr>
            <w:r/>
            <w:r>
              <w:rPr>
                <w:sz w:val="17"/>
              </w:rPr>
              <w:t>0.86 / 0.50</w:t>
            </w:r>
          </w:p>
        </w:tc>
        <w:tc>
          <w:tcPr>
            <w:tcW w:type="dxa" w:w="1728"/>
          </w:tcPr>
          <w:p>
            <w:pPr>
              <w:jc w:val="center"/>
            </w:pPr>
            <w:r/>
            <w:r>
              <w:rPr>
                <w:sz w:val="17"/>
              </w:rPr>
              <w:t>0.53 / 0.29</w:t>
            </w:r>
          </w:p>
        </w:tc>
      </w:tr>
      <w:tr>
        <w:tc>
          <w:tcPr>
            <w:tcW w:type="dxa" w:w="2304"/>
          </w:tcPr>
          <w:p>
            <w:pPr>
              <w:jc w:val="left"/>
            </w:pPr>
            <w:r/>
            <w:r>
              <w:rPr>
                <w:b/>
                <w:sz w:val="17"/>
              </w:rPr>
              <w:t>Deepgram nova-2</w:t>
            </w:r>
          </w:p>
        </w:tc>
        <w:tc>
          <w:tcPr>
            <w:tcW w:type="dxa" w:w="1584"/>
          </w:tcPr>
          <w:p>
            <w:pPr>
              <w:jc w:val="center"/>
            </w:pPr>
            <w:r/>
            <w:r>
              <w:rPr>
                <w:sz w:val="17"/>
              </w:rPr>
              <w:t>0.89 / 0.83</w:t>
            </w:r>
          </w:p>
        </w:tc>
        <w:tc>
          <w:tcPr>
            <w:tcW w:type="dxa" w:w="1584"/>
          </w:tcPr>
          <w:p>
            <w:pPr>
              <w:jc w:val="center"/>
            </w:pPr>
            <w:r/>
            <w:r>
              <w:rPr>
                <w:sz w:val="17"/>
              </w:rPr>
              <w:t>0.66 / 0.64</w:t>
            </w:r>
          </w:p>
        </w:tc>
        <w:tc>
          <w:tcPr>
            <w:tcW w:type="dxa" w:w="1584"/>
          </w:tcPr>
          <w:p>
            <w:pPr>
              <w:jc w:val="center"/>
            </w:pPr>
            <w:r/>
            <w:r>
              <w:rPr>
                <w:sz w:val="17"/>
              </w:rPr>
              <w:t>0.66 / 0.60</w:t>
            </w:r>
          </w:p>
        </w:tc>
        <w:tc>
          <w:tcPr>
            <w:tcW w:type="dxa" w:w="1584"/>
          </w:tcPr>
          <w:p>
            <w:pPr>
              <w:jc w:val="center"/>
            </w:pPr>
            <w:r/>
            <w:r>
              <w:rPr>
                <w:sz w:val="17"/>
              </w:rPr>
              <w:t>0.96 / 0.96</w:t>
            </w:r>
          </w:p>
        </w:tc>
        <w:tc>
          <w:tcPr>
            <w:tcW w:type="dxa" w:w="1728"/>
          </w:tcPr>
          <w:p>
            <w:pPr>
              <w:jc w:val="center"/>
            </w:pPr>
            <w:r/>
            <w:r>
              <w:rPr>
                <w:sz w:val="17"/>
              </w:rPr>
              <w:t>0.79 / 0.76</w:t>
            </w:r>
          </w:p>
        </w:tc>
      </w:tr>
      <w:tr>
        <w:tc>
          <w:tcPr>
            <w:tcW w:type="dxa" w:w="2304"/>
          </w:tcPr>
          <w:p>
            <w:pPr>
              <w:jc w:val="left"/>
            </w:pPr>
            <w:r/>
            <w:r>
              <w:rPr>
                <w:b/>
                <w:sz w:val="17"/>
              </w:rPr>
              <w:t>Fine-tuned STT (ours)</w:t>
            </w:r>
          </w:p>
        </w:tc>
        <w:tc>
          <w:tcPr>
            <w:tcW w:type="dxa" w:w="1584"/>
          </w:tcPr>
          <w:p>
            <w:pPr>
              <w:jc w:val="center"/>
            </w:pPr>
            <w:r/>
            <w:r>
              <w:rPr>
                <w:sz w:val="17"/>
              </w:rPr>
              <w:t>0.82 / 0.59</w:t>
            </w:r>
          </w:p>
        </w:tc>
        <w:tc>
          <w:tcPr>
            <w:tcW w:type="dxa" w:w="1584"/>
          </w:tcPr>
          <w:p>
            <w:pPr>
              <w:jc w:val="center"/>
            </w:pPr>
            <w:r/>
            <w:r>
              <w:rPr>
                <w:sz w:val="17"/>
              </w:rPr>
              <w:t>0.97 / 0.64</w:t>
            </w:r>
          </w:p>
        </w:tc>
        <w:tc>
          <w:tcPr>
            <w:tcW w:type="dxa" w:w="1584"/>
          </w:tcPr>
          <w:p>
            <w:pPr>
              <w:jc w:val="center"/>
            </w:pPr>
            <w:r/>
            <w:r>
              <w:rPr>
                <w:sz w:val="17"/>
              </w:rPr>
              <w:t>1.14 / 1.01</w:t>
            </w:r>
          </w:p>
        </w:tc>
        <w:tc>
          <w:tcPr>
            <w:tcW w:type="dxa" w:w="1584"/>
          </w:tcPr>
          <w:p>
            <w:pPr>
              <w:jc w:val="center"/>
            </w:pPr>
            <w:r/>
            <w:r>
              <w:rPr>
                <w:sz w:val="17"/>
              </w:rPr>
              <w:t>0.98 / 0.61</w:t>
            </w:r>
          </w:p>
        </w:tc>
        <w:tc>
          <w:tcPr>
            <w:tcW w:type="dxa" w:w="1728"/>
          </w:tcPr>
          <w:p>
            <w:pPr>
              <w:jc w:val="center"/>
            </w:pPr>
            <w:r/>
            <w:r>
              <w:rPr>
                <w:sz w:val="17"/>
              </w:rPr>
              <w:t>0.98 / 0.71</w:t>
            </w:r>
          </w:p>
        </w:tc>
      </w:tr>
      <w:tr>
        <w:tc>
          <w:tcPr>
            <w:tcW w:type="dxa" w:w="2304"/>
          </w:tcPr>
          <w:p>
            <w:pPr>
              <w:jc w:val="left"/>
            </w:pPr>
            <w:r/>
            <w:r>
              <w:rPr>
                <w:b/>
                <w:sz w:val="17"/>
              </w:rPr>
              <w:t>LinguaCenter</w:t>
            </w:r>
          </w:p>
        </w:tc>
        <w:tc>
          <w:tcPr>
            <w:tcW w:type="dxa" w:w="1584"/>
          </w:tcPr>
          <w:p>
            <w:pPr>
              <w:jc w:val="center"/>
            </w:pPr>
            <w:r/>
            <w:r>
              <w:rPr>
                <w:sz w:val="17"/>
              </w:rPr>
              <w:t>4.10 / 4.06</w:t>
            </w:r>
          </w:p>
        </w:tc>
        <w:tc>
          <w:tcPr>
            <w:tcW w:type="dxa" w:w="1584"/>
          </w:tcPr>
          <w:p>
            <w:pPr>
              <w:jc w:val="center"/>
            </w:pPr>
            <w:r/>
            <w:r>
              <w:rPr>
                <w:sz w:val="17"/>
              </w:rPr>
              <w:t>0.56 / 0.32</w:t>
            </w:r>
          </w:p>
        </w:tc>
        <w:tc>
          <w:tcPr>
            <w:tcW w:type="dxa" w:w="1584"/>
          </w:tcPr>
          <w:p>
            <w:pPr>
              <w:jc w:val="center"/>
            </w:pPr>
            <w:r/>
            <w:r>
              <w:rPr>
                <w:sz w:val="17"/>
              </w:rPr>
              <w:t>0.49 / 0.33</w:t>
            </w:r>
          </w:p>
        </w:tc>
        <w:tc>
          <w:tcPr>
            <w:tcW w:type="dxa" w:w="1584"/>
          </w:tcPr>
          <w:p>
            <w:pPr>
              <w:jc w:val="center"/>
            </w:pPr>
            <w:r/>
            <w:r>
              <w:rPr>
                <w:sz w:val="17"/>
              </w:rPr>
              <w:t>1.02 / 0.69</w:t>
            </w:r>
          </w:p>
        </w:tc>
        <w:tc>
          <w:tcPr>
            <w:tcW w:type="dxa" w:w="1728"/>
          </w:tcPr>
          <w:p>
            <w:pPr>
              <w:jc w:val="center"/>
            </w:pPr>
            <w:r/>
            <w:r>
              <w:rPr>
                <w:sz w:val="17"/>
              </w:rPr>
              <w:t>1.54 / 1.35</w:t>
            </w:r>
          </w:p>
        </w:tc>
      </w:tr>
    </w:tbl>
    <w:p>
      <w:r>
        <w:rPr>
          <w:i/>
          <w:sz w:val="16"/>
        </w:rPr>
        <w:t>Lower is better. Each cell is WER / CER, mean of four clips.</w:t>
      </w:r>
    </w:p>
    <w:p>
      <w:pPr>
        <w:spacing w:before="160" w:after="60"/>
      </w:pPr>
      <w:r>
        <w:rPr>
          <w:b/>
          <w:color w:val="1A1A1A"/>
          <w:sz w:val="24"/>
        </w:rPr>
        <w:t>4. Downstream-task performance</w:t>
      </w:r>
    </w:p>
    <w:p>
      <w:r>
        <w:rPr>
          <w:i w:val="0"/>
          <w:sz w:val="18"/>
        </w:rPr>
        <w:t>The transcript is an input to tool calls, not the deliverable. This table reports what reaches the agent: critical-term recall, and measured end-to-end wait per turn in the live system.</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016"/>
          </w:tcPr>
          <w:p>
            <w:pPr>
              <w:spacing w:after="0"/>
              <w:jc w:val="left"/>
            </w:pPr>
            <w:r/>
            <w:r>
              <w:rPr>
                <w:b/>
                <w:sz w:val="17"/>
              </w:rPr>
              <w:t>Model</w:t>
            </w:r>
          </w:p>
        </w:tc>
        <w:tc>
          <w:tcPr>
            <w:tcW w:type="dxa" w:w="1368"/>
          </w:tcPr>
          <w:p>
            <w:pPr>
              <w:jc w:val="center"/>
            </w:pPr>
            <w:r/>
            <w:r>
              <w:rPr>
                <w:b/>
                <w:sz w:val="17"/>
              </w:rPr>
              <w:t>Critical recall</w:t>
            </w:r>
          </w:p>
        </w:tc>
        <w:tc>
          <w:tcPr>
            <w:tcW w:type="dxa" w:w="1296"/>
          </w:tcPr>
          <w:p>
            <w:pPr>
              <w:jc w:val="center"/>
            </w:pPr>
            <w:r/>
            <w:r>
              <w:rPr>
                <w:b/>
                <w:sz w:val="17"/>
              </w:rPr>
              <w:t>Bench latency</w:t>
            </w:r>
          </w:p>
        </w:tc>
        <w:tc>
          <w:tcPr>
            <w:tcW w:type="dxa" w:w="1944"/>
          </w:tcPr>
          <w:p>
            <w:pPr>
              <w:jc w:val="center"/>
            </w:pPr>
            <w:r/>
            <w:r>
              <w:rPr>
                <w:b/>
                <w:sz w:val="17"/>
              </w:rPr>
              <w:t>Live turn wait</w:t>
            </w:r>
          </w:p>
        </w:tc>
        <w:tc>
          <w:tcPr>
            <w:tcW w:type="dxa" w:w="3744"/>
          </w:tcPr>
          <w:p>
            <w:pPr>
              <w:jc w:val="center"/>
            </w:pPr>
            <w:r/>
            <w:r>
              <w:rPr>
                <w:b/>
                <w:sz w:val="17"/>
              </w:rPr>
              <w:t>Verdict</w:t>
            </w:r>
          </w:p>
        </w:tc>
      </w:tr>
      <w:tr>
        <w:tc>
          <w:tcPr>
            <w:tcW w:type="dxa" w:w="2016"/>
          </w:tcPr>
          <w:p>
            <w:pPr>
              <w:jc w:val="left"/>
            </w:pPr>
            <w:r/>
            <w:r>
              <w:rPr>
                <w:b/>
                <w:sz w:val="17"/>
              </w:rPr>
              <w:t>ElevenLabs Scribe</w:t>
            </w:r>
          </w:p>
        </w:tc>
        <w:tc>
          <w:tcPr>
            <w:tcW w:type="dxa" w:w="1368"/>
          </w:tcPr>
          <w:p>
            <w:pPr>
              <w:jc w:val="center"/>
            </w:pPr>
            <w:r/>
            <w:r>
              <w:rPr>
                <w:sz w:val="17"/>
              </w:rPr>
              <w:t>1.00</w:t>
            </w:r>
          </w:p>
        </w:tc>
        <w:tc>
          <w:tcPr>
            <w:tcW w:type="dxa" w:w="1296"/>
          </w:tcPr>
          <w:p>
            <w:pPr>
              <w:jc w:val="center"/>
            </w:pPr>
            <w:r/>
            <w:r>
              <w:rPr>
                <w:sz w:val="17"/>
              </w:rPr>
              <w:t>2.5 s</w:t>
            </w:r>
          </w:p>
        </w:tc>
        <w:tc>
          <w:tcPr>
            <w:tcW w:type="dxa" w:w="1944"/>
          </w:tcPr>
          <w:p>
            <w:pPr>
              <w:jc w:val="center"/>
            </w:pPr>
            <w:r/>
            <w:r>
              <w:rPr>
                <w:sz w:val="17"/>
              </w:rPr>
              <w:t>not wired live</w:t>
            </w:r>
          </w:p>
        </w:tc>
        <w:tc>
          <w:tcPr>
            <w:tcW w:type="dxa" w:w="3744"/>
          </w:tcPr>
          <w:p>
            <w:pPr>
              <w:jc w:val="center"/>
            </w:pPr>
            <w:r/>
            <w:r>
              <w:rPr>
                <w:sz w:val="17"/>
              </w:rPr>
              <w:t>Most accurate; kept every critical term</w:t>
            </w:r>
          </w:p>
        </w:tc>
      </w:tr>
      <w:tr>
        <w:tc>
          <w:tcPr>
            <w:tcW w:type="dxa" w:w="2016"/>
          </w:tcPr>
          <w:p>
            <w:pPr>
              <w:jc w:val="left"/>
            </w:pPr>
            <w:r/>
            <w:r>
              <w:rPr>
                <w:b/>
                <w:sz w:val="17"/>
              </w:rPr>
              <w:t>Intron / Sahara</w:t>
            </w:r>
          </w:p>
        </w:tc>
        <w:tc>
          <w:tcPr>
            <w:tcW w:type="dxa" w:w="1368"/>
          </w:tcPr>
          <w:p>
            <w:pPr>
              <w:jc w:val="center"/>
            </w:pPr>
            <w:r/>
            <w:r>
              <w:rPr>
                <w:sz w:val="17"/>
              </w:rPr>
              <w:t>0.67</w:t>
            </w:r>
          </w:p>
        </w:tc>
        <w:tc>
          <w:tcPr>
            <w:tcW w:type="dxa" w:w="1296"/>
          </w:tcPr>
          <w:p>
            <w:pPr>
              <w:jc w:val="center"/>
            </w:pPr>
            <w:r/>
            <w:r>
              <w:rPr>
                <w:sz w:val="17"/>
              </w:rPr>
              <w:t>29.4 s</w:t>
            </w:r>
          </w:p>
        </w:tc>
        <w:tc>
          <w:tcPr>
            <w:tcW w:type="dxa" w:w="1944"/>
          </w:tcPr>
          <w:p>
            <w:pPr>
              <w:jc w:val="center"/>
            </w:pPr>
            <w:r/>
            <w:r>
              <w:rPr>
                <w:sz w:val="17"/>
              </w:rPr>
              <w:t>4.1–5.9 s (streaming)</w:t>
            </w:r>
          </w:p>
        </w:tc>
        <w:tc>
          <w:tcPr>
            <w:tcW w:type="dxa" w:w="3744"/>
          </w:tcPr>
          <w:p>
            <w:pPr>
              <w:jc w:val="center"/>
            </w:pPr>
            <w:r/>
            <w:r>
              <w:rPr>
                <w:sz w:val="17"/>
              </w:rPr>
              <w:t>Only model that kept both languages; slow</w:t>
            </w:r>
          </w:p>
        </w:tc>
      </w:tr>
      <w:tr>
        <w:tc>
          <w:tcPr>
            <w:tcW w:type="dxa" w:w="2016"/>
          </w:tcPr>
          <w:p>
            <w:pPr>
              <w:jc w:val="left"/>
            </w:pPr>
            <w:r/>
            <w:r>
              <w:rPr>
                <w:b/>
                <w:sz w:val="17"/>
              </w:rPr>
              <w:t>Deepgram nova-2</w:t>
            </w:r>
          </w:p>
        </w:tc>
        <w:tc>
          <w:tcPr>
            <w:tcW w:type="dxa" w:w="1368"/>
          </w:tcPr>
          <w:p>
            <w:pPr>
              <w:jc w:val="center"/>
            </w:pPr>
            <w:r/>
            <w:r>
              <w:rPr>
                <w:sz w:val="17"/>
              </w:rPr>
              <w:t>0.67</w:t>
            </w:r>
          </w:p>
        </w:tc>
        <w:tc>
          <w:tcPr>
            <w:tcW w:type="dxa" w:w="1296"/>
          </w:tcPr>
          <w:p>
            <w:pPr>
              <w:jc w:val="center"/>
            </w:pPr>
            <w:r/>
            <w:r>
              <w:rPr>
                <w:sz w:val="17"/>
              </w:rPr>
              <w:t>2.2 s</w:t>
            </w:r>
          </w:p>
        </w:tc>
        <w:tc>
          <w:tcPr>
            <w:tcW w:type="dxa" w:w="1944"/>
          </w:tcPr>
          <w:p>
            <w:pPr>
              <w:jc w:val="center"/>
            </w:pPr>
            <w:r/>
            <w:r>
              <w:rPr>
                <w:sz w:val="17"/>
              </w:rPr>
              <w:t>~0.3 s</w:t>
            </w:r>
          </w:p>
        </w:tc>
        <w:tc>
          <w:tcPr>
            <w:tcW w:type="dxa" w:w="3744"/>
          </w:tcPr>
          <w:p>
            <w:pPr>
              <w:jc w:val="center"/>
            </w:pPr>
            <w:r/>
            <w:r>
              <w:rPr>
                <w:sz w:val="17"/>
              </w:rPr>
              <w:t>Fast, but deaf to three of the four</w:t>
            </w:r>
          </w:p>
        </w:tc>
      </w:tr>
      <w:tr>
        <w:tc>
          <w:tcPr>
            <w:tcW w:type="dxa" w:w="2016"/>
          </w:tcPr>
          <w:p>
            <w:pPr>
              <w:jc w:val="left"/>
            </w:pPr>
            <w:r/>
            <w:r>
              <w:rPr>
                <w:b/>
                <w:sz w:val="17"/>
              </w:rPr>
              <w:t>Fine-tuned STT (ours)</w:t>
            </w:r>
          </w:p>
        </w:tc>
        <w:tc>
          <w:tcPr>
            <w:tcW w:type="dxa" w:w="1368"/>
          </w:tcPr>
          <w:p>
            <w:pPr>
              <w:jc w:val="center"/>
            </w:pPr>
            <w:r/>
            <w:r>
              <w:rPr>
                <w:sz w:val="17"/>
              </w:rPr>
              <w:t>0.00</w:t>
            </w:r>
          </w:p>
        </w:tc>
        <w:tc>
          <w:tcPr>
            <w:tcW w:type="dxa" w:w="1296"/>
          </w:tcPr>
          <w:p>
            <w:pPr>
              <w:jc w:val="center"/>
            </w:pPr>
            <w:r/>
            <w:r>
              <w:rPr>
                <w:sz w:val="17"/>
              </w:rPr>
              <w:t>2.6 s</w:t>
            </w:r>
          </w:p>
        </w:tc>
        <w:tc>
          <w:tcPr>
            <w:tcW w:type="dxa" w:w="1944"/>
          </w:tcPr>
          <w:p>
            <w:pPr>
              <w:jc w:val="center"/>
            </w:pPr>
            <w:r/>
            <w:r>
              <w:rPr>
                <w:sz w:val="17"/>
              </w:rPr>
              <w:t>~2.5 s</w:t>
            </w:r>
          </w:p>
        </w:tc>
        <w:tc>
          <w:tcPr>
            <w:tcW w:type="dxa" w:w="3744"/>
          </w:tcPr>
          <w:p>
            <w:pPr>
              <w:jc w:val="center"/>
            </w:pPr>
            <w:r/>
            <w:r>
              <w:rPr>
                <w:sz w:val="17"/>
              </w:rPr>
              <w:t>Lost every critical term tested</w:t>
            </w:r>
          </w:p>
        </w:tc>
      </w:tr>
      <w:tr>
        <w:tc>
          <w:tcPr>
            <w:tcW w:type="dxa" w:w="2016"/>
          </w:tcPr>
          <w:p>
            <w:pPr>
              <w:jc w:val="left"/>
            </w:pPr>
            <w:r/>
            <w:r>
              <w:rPr>
                <w:b/>
                <w:sz w:val="17"/>
              </w:rPr>
              <w:t>LinguaCenter</w:t>
            </w:r>
          </w:p>
        </w:tc>
        <w:tc>
          <w:tcPr>
            <w:tcW w:type="dxa" w:w="1368"/>
          </w:tcPr>
          <w:p>
            <w:pPr>
              <w:jc w:val="center"/>
            </w:pPr>
            <w:r/>
            <w:r>
              <w:rPr>
                <w:sz w:val="17"/>
              </w:rPr>
              <w:t>0.67</w:t>
            </w:r>
          </w:p>
        </w:tc>
        <w:tc>
          <w:tcPr>
            <w:tcW w:type="dxa" w:w="1296"/>
          </w:tcPr>
          <w:p>
            <w:pPr>
              <w:jc w:val="center"/>
            </w:pPr>
            <w:r/>
            <w:r>
              <w:rPr>
                <w:sz w:val="17"/>
              </w:rPr>
              <w:t>2.2 s</w:t>
            </w:r>
          </w:p>
        </w:tc>
        <w:tc>
          <w:tcPr>
            <w:tcW w:type="dxa" w:w="1944"/>
          </w:tcPr>
          <w:p>
            <w:pPr>
              <w:jc w:val="center"/>
            </w:pPr>
            <w:r/>
            <w:r>
              <w:rPr>
                <w:sz w:val="17"/>
              </w:rPr>
              <w:t>~2.2 s</w:t>
            </w:r>
          </w:p>
        </w:tc>
        <w:tc>
          <w:tcPr>
            <w:tcW w:type="dxa" w:w="3744"/>
          </w:tcPr>
          <w:p>
            <w:pPr>
              <w:jc w:val="center"/>
            </w:pPr>
            <w:r/>
            <w:r>
              <w:rPr>
                <w:sz w:val="17"/>
              </w:rPr>
              <w:t>Unusable on Hausa</w:t>
            </w:r>
          </w:p>
        </w:tc>
      </w:tr>
    </w:tbl>
    <w:p>
      <w:r>
        <w:rPr>
          <w:i/>
          <w:sz w:val="16"/>
        </w:rPr>
        <w:t>Critical recall is measured only on clips whose reference contains a decision-carrying term (3 of 16), so treat it as directional, not precise. Benchmark latency includes the harness's rate-limit pacing and cold-start waits; the live column is measured on the deployed pipeline. Intron's benchmark figure of 29.5 s is almost entirely warm-up and pacing, not inference.</w:t>
      </w:r>
    </w:p>
    <w:p>
      <w:pPr>
        <w:spacing w:before="160" w:after="60"/>
      </w:pPr>
      <w:r>
        <w:rPr>
          <w:b/>
          <w:color w:val="1A1A1A"/>
          <w:sz w:val="24"/>
        </w:rPr>
        <w:t>5. TTS results — round-trip WER per language</w:t>
      </w:r>
    </w:p>
    <w:tbl>
      <w:tblPr>
        <w:tblStyle w:val="TableGrid"/>
        <w:tblW w:type="auto" w:w="0"/>
        <w:jc w:val="center"/>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2376"/>
          </w:tcPr>
          <w:p>
            <w:pPr>
              <w:spacing w:after="0"/>
              <w:jc w:val="left"/>
            </w:pPr>
            <w:r/>
            <w:r>
              <w:rPr>
                <w:b/>
                <w:sz w:val="17"/>
              </w:rPr>
              <w:t>Model</w:t>
            </w:r>
          </w:p>
        </w:tc>
        <w:tc>
          <w:tcPr>
            <w:tcW w:type="dxa" w:w="1037"/>
          </w:tcPr>
          <w:p>
            <w:pPr>
              <w:jc w:val="center"/>
            </w:pPr>
            <w:r/>
            <w:r>
              <w:rPr>
                <w:b/>
                <w:sz w:val="17"/>
              </w:rPr>
              <w:t>Hausa</w:t>
            </w:r>
          </w:p>
        </w:tc>
        <w:tc>
          <w:tcPr>
            <w:tcW w:type="dxa" w:w="1037"/>
          </w:tcPr>
          <w:p>
            <w:pPr>
              <w:jc w:val="center"/>
            </w:pPr>
            <w:r/>
            <w:r>
              <w:rPr>
                <w:b/>
                <w:sz w:val="17"/>
              </w:rPr>
              <w:t>Igbo</w:t>
            </w:r>
          </w:p>
        </w:tc>
        <w:tc>
          <w:tcPr>
            <w:tcW w:type="dxa" w:w="1037"/>
          </w:tcPr>
          <w:p>
            <w:pPr>
              <w:jc w:val="center"/>
            </w:pPr>
            <w:r/>
            <w:r>
              <w:rPr>
                <w:b/>
                <w:sz w:val="17"/>
              </w:rPr>
              <w:t>Pidgin</w:t>
            </w:r>
          </w:p>
        </w:tc>
        <w:tc>
          <w:tcPr>
            <w:tcW w:type="dxa" w:w="1037"/>
          </w:tcPr>
          <w:p>
            <w:pPr>
              <w:jc w:val="center"/>
            </w:pPr>
            <w:r/>
            <w:r>
              <w:rPr>
                <w:b/>
                <w:sz w:val="17"/>
              </w:rPr>
              <w:t>Yoruba</w:t>
            </w:r>
          </w:p>
        </w:tc>
        <w:tc>
          <w:tcPr>
            <w:tcW w:type="dxa" w:w="1037"/>
          </w:tcPr>
          <w:p>
            <w:pPr>
              <w:jc w:val="center"/>
            </w:pPr>
            <w:r/>
            <w:r>
              <w:rPr>
                <w:b/>
                <w:sz w:val="17"/>
              </w:rPr>
              <w:t>WER</w:t>
            </w:r>
          </w:p>
        </w:tc>
        <w:tc>
          <w:tcPr>
            <w:tcW w:type="dxa" w:w="1080"/>
          </w:tcPr>
          <w:p>
            <w:pPr>
              <w:jc w:val="center"/>
            </w:pPr>
            <w:r/>
            <w:r>
              <w:rPr>
                <w:b/>
                <w:sz w:val="17"/>
              </w:rPr>
              <w:t>Halluc.</w:t>
            </w:r>
          </w:p>
        </w:tc>
        <w:tc>
          <w:tcPr>
            <w:tcW w:type="dxa" w:w="979"/>
          </w:tcPr>
          <w:p>
            <w:pPr>
              <w:jc w:val="center"/>
            </w:pPr>
            <w:r/>
            <w:r>
              <w:rPr>
                <w:b/>
                <w:sz w:val="17"/>
              </w:rPr>
              <w:t>Loss</w:t>
            </w:r>
          </w:p>
        </w:tc>
        <w:tc>
          <w:tcPr>
            <w:tcW w:type="dxa" w:w="1123"/>
          </w:tcPr>
          <w:p>
            <w:pPr>
              <w:jc w:val="center"/>
            </w:pPr>
            <w:r/>
            <w:r>
              <w:rPr>
                <w:b/>
                <w:sz w:val="17"/>
              </w:rPr>
              <w:t>Seg lost</w:t>
            </w:r>
          </w:p>
        </w:tc>
      </w:tr>
      <w:tr>
        <w:tc>
          <w:tcPr>
            <w:tcW w:type="dxa" w:w="2376"/>
          </w:tcPr>
          <w:p>
            <w:pPr>
              <w:jc w:val="left"/>
            </w:pPr>
            <w:r/>
            <w:r>
              <w:rPr>
                <w:b/>
                <w:sz w:val="17"/>
              </w:rPr>
              <w:t>ElevenLabs multiling. v2</w:t>
            </w:r>
          </w:p>
        </w:tc>
        <w:tc>
          <w:tcPr>
            <w:tcW w:type="dxa" w:w="1037"/>
          </w:tcPr>
          <w:p>
            <w:pPr>
              <w:jc w:val="center"/>
            </w:pPr>
            <w:r/>
            <w:r>
              <w:rPr>
                <w:sz w:val="17"/>
              </w:rPr>
              <w:t>0.30</w:t>
            </w:r>
          </w:p>
        </w:tc>
        <w:tc>
          <w:tcPr>
            <w:tcW w:type="dxa" w:w="1037"/>
          </w:tcPr>
          <w:p>
            <w:pPr>
              <w:jc w:val="center"/>
            </w:pPr>
            <w:r/>
            <w:r>
              <w:rPr>
                <w:sz w:val="17"/>
              </w:rPr>
              <w:t>0.37</w:t>
            </w:r>
          </w:p>
        </w:tc>
        <w:tc>
          <w:tcPr>
            <w:tcW w:type="dxa" w:w="1037"/>
          </w:tcPr>
          <w:p>
            <w:pPr>
              <w:jc w:val="center"/>
            </w:pPr>
            <w:r/>
            <w:r>
              <w:rPr>
                <w:sz w:val="17"/>
              </w:rPr>
              <w:t>0.09</w:t>
            </w:r>
          </w:p>
        </w:tc>
        <w:tc>
          <w:tcPr>
            <w:tcW w:type="dxa" w:w="1037"/>
          </w:tcPr>
          <w:p>
            <w:pPr>
              <w:jc w:val="center"/>
            </w:pPr>
            <w:r/>
            <w:r>
              <w:rPr>
                <w:sz w:val="17"/>
              </w:rPr>
              <w:t>0.53</w:t>
            </w:r>
          </w:p>
        </w:tc>
        <w:tc>
          <w:tcPr>
            <w:tcW w:type="dxa" w:w="1037"/>
          </w:tcPr>
          <w:p>
            <w:pPr>
              <w:jc w:val="center"/>
            </w:pPr>
            <w:r/>
            <w:r>
              <w:rPr>
                <w:sz w:val="17"/>
              </w:rPr>
              <w:t>0.32</w:t>
            </w:r>
          </w:p>
        </w:tc>
        <w:tc>
          <w:tcPr>
            <w:tcW w:type="dxa" w:w="1080"/>
          </w:tcPr>
          <w:p>
            <w:pPr>
              <w:jc w:val="center"/>
            </w:pPr>
            <w:r/>
            <w:r>
              <w:rPr>
                <w:sz w:val="17"/>
              </w:rPr>
              <w:t>0.26</w:t>
            </w:r>
          </w:p>
        </w:tc>
        <w:tc>
          <w:tcPr>
            <w:tcW w:type="dxa" w:w="979"/>
          </w:tcPr>
          <w:p>
            <w:pPr>
              <w:jc w:val="center"/>
            </w:pPr>
            <w:r/>
            <w:r>
              <w:rPr>
                <w:sz w:val="17"/>
              </w:rPr>
              <w:t>0.29</w:t>
            </w:r>
          </w:p>
        </w:tc>
        <w:tc>
          <w:tcPr>
            <w:tcW w:type="dxa" w:w="1123"/>
          </w:tcPr>
          <w:p>
            <w:pPr>
              <w:jc w:val="center"/>
            </w:pPr>
            <w:r/>
            <w:r>
              <w:rPr>
                <w:sz w:val="17"/>
              </w:rPr>
              <w:t>0.00</w:t>
            </w:r>
          </w:p>
        </w:tc>
      </w:tr>
      <w:tr>
        <w:tc>
          <w:tcPr>
            <w:tcW w:type="dxa" w:w="2376"/>
          </w:tcPr>
          <w:p>
            <w:pPr>
              <w:jc w:val="left"/>
            </w:pPr>
            <w:r/>
            <w:r>
              <w:rPr>
                <w:b/>
                <w:sz w:val="17"/>
              </w:rPr>
              <w:t>Fine-tuned TTS (ours)</w:t>
            </w:r>
          </w:p>
        </w:tc>
        <w:tc>
          <w:tcPr>
            <w:tcW w:type="dxa" w:w="1037"/>
          </w:tcPr>
          <w:p>
            <w:pPr>
              <w:jc w:val="center"/>
            </w:pPr>
            <w:r/>
            <w:r>
              <w:rPr>
                <w:sz w:val="17"/>
              </w:rPr>
              <w:t>0.27</w:t>
            </w:r>
          </w:p>
        </w:tc>
        <w:tc>
          <w:tcPr>
            <w:tcW w:type="dxa" w:w="1037"/>
          </w:tcPr>
          <w:p>
            <w:pPr>
              <w:jc w:val="center"/>
            </w:pPr>
            <w:r/>
            <w:r>
              <w:rPr>
                <w:sz w:val="17"/>
              </w:rPr>
              <w:t>0.56</w:t>
            </w:r>
          </w:p>
        </w:tc>
        <w:tc>
          <w:tcPr>
            <w:tcW w:type="dxa" w:w="1037"/>
          </w:tcPr>
          <w:p>
            <w:pPr>
              <w:jc w:val="center"/>
            </w:pPr>
            <w:r/>
            <w:r>
              <w:rPr>
                <w:sz w:val="17"/>
              </w:rPr>
              <w:t>0.28</w:t>
            </w:r>
          </w:p>
        </w:tc>
        <w:tc>
          <w:tcPr>
            <w:tcW w:type="dxa" w:w="1037"/>
          </w:tcPr>
          <w:p>
            <w:pPr>
              <w:jc w:val="center"/>
            </w:pPr>
            <w:r/>
            <w:r>
              <w:rPr>
                <w:sz w:val="17"/>
              </w:rPr>
              <w:t>0.86</w:t>
            </w:r>
          </w:p>
        </w:tc>
        <w:tc>
          <w:tcPr>
            <w:tcW w:type="dxa" w:w="1037"/>
          </w:tcPr>
          <w:p>
            <w:pPr>
              <w:jc w:val="center"/>
            </w:pPr>
            <w:r/>
            <w:r>
              <w:rPr>
                <w:sz w:val="17"/>
              </w:rPr>
              <w:t>0.49</w:t>
            </w:r>
          </w:p>
        </w:tc>
        <w:tc>
          <w:tcPr>
            <w:tcW w:type="dxa" w:w="1080"/>
          </w:tcPr>
          <w:p>
            <w:pPr>
              <w:jc w:val="center"/>
            </w:pPr>
            <w:r/>
            <w:r>
              <w:rPr>
                <w:sz w:val="17"/>
              </w:rPr>
              <w:t>0.44</w:t>
            </w:r>
          </w:p>
        </w:tc>
        <w:tc>
          <w:tcPr>
            <w:tcW w:type="dxa" w:w="979"/>
          </w:tcPr>
          <w:p>
            <w:pPr>
              <w:jc w:val="center"/>
            </w:pPr>
            <w:r/>
            <w:r>
              <w:rPr>
                <w:sz w:val="17"/>
              </w:rPr>
              <w:t>0.41</w:t>
            </w:r>
          </w:p>
        </w:tc>
        <w:tc>
          <w:tcPr>
            <w:tcW w:type="dxa" w:w="1123"/>
          </w:tcPr>
          <w:p>
            <w:pPr>
              <w:jc w:val="center"/>
            </w:pPr>
            <w:r/>
            <w:r>
              <w:rPr>
                <w:sz w:val="17"/>
              </w:rPr>
              <w:t>0.00</w:t>
            </w:r>
          </w:p>
        </w:tc>
      </w:tr>
      <w:tr>
        <w:tc>
          <w:tcPr>
            <w:tcW w:type="dxa" w:w="2376"/>
          </w:tcPr>
          <w:p>
            <w:pPr>
              <w:jc w:val="left"/>
            </w:pPr>
            <w:r/>
            <w:r>
              <w:rPr>
                <w:b/>
                <w:sz w:val="17"/>
              </w:rPr>
              <w:t>Intron / Sahara</w:t>
            </w:r>
          </w:p>
        </w:tc>
        <w:tc>
          <w:tcPr>
            <w:tcW w:type="dxa" w:w="1037"/>
          </w:tcPr>
          <w:p>
            <w:pPr>
              <w:jc w:val="center"/>
            </w:pPr>
            <w:r/>
            <w:r>
              <w:rPr>
                <w:sz w:val="17"/>
              </w:rPr>
              <w:t>0.72</w:t>
            </w:r>
          </w:p>
        </w:tc>
        <w:tc>
          <w:tcPr>
            <w:tcW w:type="dxa" w:w="1037"/>
          </w:tcPr>
          <w:p>
            <w:pPr>
              <w:jc w:val="center"/>
            </w:pPr>
            <w:r/>
            <w:r>
              <w:rPr>
                <w:sz w:val="17"/>
              </w:rPr>
              <w:t>0.33</w:t>
            </w:r>
          </w:p>
        </w:tc>
        <w:tc>
          <w:tcPr>
            <w:tcW w:type="dxa" w:w="1037"/>
          </w:tcPr>
          <w:p>
            <w:pPr>
              <w:jc w:val="center"/>
            </w:pPr>
            <w:r/>
            <w:r>
              <w:rPr>
                <w:sz w:val="17"/>
              </w:rPr>
              <w:t>0.46</w:t>
            </w:r>
          </w:p>
        </w:tc>
        <w:tc>
          <w:tcPr>
            <w:tcW w:type="dxa" w:w="1037"/>
          </w:tcPr>
          <w:p>
            <w:pPr>
              <w:jc w:val="center"/>
            </w:pPr>
            <w:r/>
            <w:r>
              <w:rPr>
                <w:sz w:val="17"/>
              </w:rPr>
              <w:t>0.93</w:t>
            </w:r>
          </w:p>
        </w:tc>
        <w:tc>
          <w:tcPr>
            <w:tcW w:type="dxa" w:w="1037"/>
          </w:tcPr>
          <w:p>
            <w:pPr>
              <w:jc w:val="center"/>
            </w:pPr>
            <w:r/>
            <w:r>
              <w:rPr>
                <w:sz w:val="17"/>
              </w:rPr>
              <w:t>0.61</w:t>
            </w:r>
          </w:p>
        </w:tc>
        <w:tc>
          <w:tcPr>
            <w:tcW w:type="dxa" w:w="1080"/>
          </w:tcPr>
          <w:p>
            <w:pPr>
              <w:jc w:val="center"/>
            </w:pPr>
            <w:r/>
            <w:r>
              <w:rPr>
                <w:sz w:val="17"/>
              </w:rPr>
              <w:t>0.23</w:t>
            </w:r>
          </w:p>
        </w:tc>
        <w:tc>
          <w:tcPr>
            <w:tcW w:type="dxa" w:w="979"/>
          </w:tcPr>
          <w:p>
            <w:pPr>
              <w:jc w:val="center"/>
            </w:pPr>
            <w:r/>
            <w:r>
              <w:rPr>
                <w:sz w:val="17"/>
              </w:rPr>
              <w:t>0.59</w:t>
            </w:r>
          </w:p>
        </w:tc>
        <w:tc>
          <w:tcPr>
            <w:tcW w:type="dxa" w:w="1123"/>
          </w:tcPr>
          <w:p>
            <w:pPr>
              <w:jc w:val="center"/>
            </w:pPr>
            <w:r/>
            <w:r>
              <w:rPr>
                <w:sz w:val="17"/>
              </w:rPr>
              <w:t>0.12</w:t>
            </w:r>
          </w:p>
        </w:tc>
      </w:tr>
    </w:tbl>
    <w:p>
      <w:r>
        <w:rPr>
          <w:i/>
          <w:sz w:val="16"/>
        </w:rPr>
        <w:t>Scored by ElevenLabs Scribe. Lower is better throughout.</w:t>
      </w:r>
    </w:p>
    <w:p>
      <w:pPr>
        <w:spacing w:before="160" w:after="60"/>
      </w:pPr>
      <w:r>
        <w:rPr>
          <w:b/>
          <w:color w:val="1A1A1A"/>
          <w:sz w:val="24"/>
        </w:rPr>
        <w:t>6. Qualitative findings, per model per language</w:t>
      </w:r>
    </w:p>
    <w:p>
      <w:r>
        <w:rPr>
          <w:i w:val="0"/>
          <w:sz w:val="18"/>
        </w:rPr>
        <w:t>•  ElevenLabs Scribe led overall (WER 0.49) and was the only ASR to keep every critical term. Strong on Hausa (0.33) and Pidgin (0.28). Its Yoruba WER of 0.90 against a CER of 0.38 is the signature of a model hearing the sounds and spelling them wrongly, rather than missing them.</w:t>
      </w:r>
    </w:p>
    <w:p>
      <w:r>
        <w:rPr>
          <w:i w:val="0"/>
          <w:sz w:val="18"/>
        </w:rPr>
        <w:t>•  Intron / Sahara was close behind (0.53) and did the one thing no other model did: it preserved the English inside a Yoruba sentence. On one clip the reference ended “...ni o da o you need to base your” and Intron returned “...ni ò dá o need to base your”, while our fine-tuned model dropped the English tail entirely. Best Pidgin CER (0.17). Weakest on Yoruba (0.86), the hardest language for every model tested. Selecting the pair code matters: ‘yo’ is the Yoruba-English model, ‘en’ is monolingual and silently discards the Yoruba.</w:t>
      </w:r>
    </w:p>
    <w:p>
      <w:r>
        <w:rPr>
          <w:i w:val="0"/>
          <w:sz w:val="18"/>
        </w:rPr>
        <w:t>•  Deepgram nova-2-phonecall is fast and clean on English but effectively deaf here: Hausa 0.89 WER with 0.83 CER, Yoruba 0.96/0.96. Both metrics failing together means the audio was not recognised at all, not mis-spelt.</w:t>
      </w:r>
    </w:p>
    <w:p>
      <w:r>
        <w:rPr>
          <w:i w:val="0"/>
          <w:sz w:val="18"/>
        </w:rPr>
        <w:t>•  our fine-tuned model fine-tuned transcribed Yoruba fluently but dropped English clauses from mixed utterances, and lost every critical term measured. It also hallucinated fluent sentences from silence during live testing — a Whisper-family artefact that makes it unsafe on an open microphone.</w:t>
      </w:r>
    </w:p>
    <w:p>
      <w:r>
        <w:rPr>
          <w:i w:val="0"/>
          <w:sz w:val="18"/>
        </w:rPr>
        <w:t>•  LinguaCenter is English-only and should not be judged as a competitor here. Its Hausa WER of 4.10 reflects hallucinated output several times longer than the reference, which is the worst failure mode for an agent: confident, wrong, and long enough to trigger the wrong tool.</w:t>
      </w:r>
    </w:p>
    <w:p>
      <w:r>
        <w:rPr>
          <w:i w:val="0"/>
          <w:sz w:val="18"/>
        </w:rPr>
        <w:t>•  TTS: ElevenLabs was the most intelligible (0.32) and lost no segments. our fine-tuned model our fine-tuned model followed (0.49) with the highest hallucination rate (0.44). Intron was last on round-trip WER (0.61) but hallucinated least (0.23) — it drops content rather than inventing it, which is the safer direction to fail in, though its transcript loss of 0.59 is high. Yoruba was hardest and Pidgin easiest in both directions, for every model.</w:t>
      </w:r>
    </w:p>
    <w:p>
      <w:pPr>
        <w:spacing w:before="160" w:after="60"/>
      </w:pPr>
      <w:r>
        <w:rPr>
          <w:b/>
          <w:color w:val="1A1A1A"/>
          <w:sz w:val="24"/>
        </w:rPr>
        <w:t>7. What we shipped, and why</w:t>
      </w:r>
    </w:p>
    <w:p>
      <w:r>
        <w:rPr>
          <w:i w:val="0"/>
          <w:sz w:val="18"/>
        </w:rPr>
        <w:t>Intron / Sahara runs the live agents. It is not the top scorer on WER, but it is the only model that keeps both halves of a code-switched sentence, and an agent that loses the English half of “Mo ra data yen, but it never entered” cannot pick the right tool. The cost is latency. Driving the streaming API the obvious way — buffer the utterance, commit, wait — left callers waiting 8.7 s. Opening the socket at start-of-speech, feeding it live, and warming sessions during silence brought that to 4.1–5.9 s.</w:t>
      </w:r>
    </w:p>
    <w:p>
      <w:r>
        <w:rPr>
          <w:i w:val="0"/>
          <w:sz w:val="18"/>
        </w:rPr>
        <w:t>TTS output is routed per sentence to the endpoint for that sentence's language, using one voice name across all four so the speaker does not change when the caller switches language. Intron TTS was measured at 8.2 s to first audio warm and 12.5 s cold, so it stays in the benchmark and out of the call path; our fine-tuned model fine-tuned (3.6 s to first byte) carries the live voice.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