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sz w:val="32"/>
        </w:rPr>
        <w:t>Benchmarking speech models on Nigerian code-switched audio</w:t>
      </w:r>
    </w:p>
    <w:p>
      <w:r>
        <w:rPr>
          <w:i w:val="0"/>
          <w:sz w:val="22"/>
        </w:rPr>
        <w:t>Sahara CodeSwitch Africa — benchmark report for Noba, an A I customer care agent serving a Nigerian bank and a telecom company. Four ASR models and three TTS models, scored on the same 16 code-switched clips.</w:t>
      </w:r>
    </w:p>
    <w:p>
      <w:pPr>
        <w:spacing w:before="180" w:after="40"/>
      </w:pPr>
      <w:r>
        <w:rPr>
          <w:b/>
          <w:color w:val="1A1A1A"/>
          <w:sz w:val="26"/>
        </w:rPr>
        <w:t>1. Data</w:t>
      </w:r>
    </w:p>
    <w:p>
      <w:r>
        <w:rPr>
          <w:i w:val="0"/>
          <w:sz w:val="22"/>
        </w:rPr>
        <w:t>Source: intronhealth/AfriSwitch on HuggingFace, a gated corpus of genuinely code-switched Nigerian speech. 16 clips, four each in Hausa, Igbo, Nigerian Pidgin and Yoruba; about 3 minutes total, clips of 5-30 seconds. Every clip mixes English with the named language inside one utterance, which is why a monolingual model cannot score well on it by accident.</w:t>
      </w:r>
    </w:p>
    <w:p>
      <w:r>
        <w:rPr>
          <w:i w:val="0"/>
          <w:sz w:val="22"/>
        </w:rPr>
        <w:t>Preprocessing: loaded undecoded, written to 16 kHz mono PCM16 WAV. No denoising, trimming or loudness normalisation — the models see what a phone line delivers. Reference transcripts are the dataset's own. Scoring normalises case, punctuation and whitespace; WER and CER are reported normalised and raw. The clips are published at huggingface.co/datasets/yusasif/intron-stt_tts-benchmark.</w:t>
      </w:r>
    </w:p>
    <w:p>
      <w:pPr>
        <w:spacing w:before="180" w:after="40"/>
      </w:pPr>
      <w:r>
        <w:rPr>
          <w:b/>
          <w:color w:val="1A1A1A"/>
          <w:sz w:val="26"/>
        </w:rPr>
        <w:t>2. Metrics, and why these</w:t>
      </w:r>
    </w:p>
    <w:p>
      <w:r>
        <w:rPr>
          <w:i w:val="0"/>
          <w:sz w:val="22"/>
        </w:rPr>
        <w:t>WER alone flatters a model that deletes what it cannot handle: dropping a Yoruba clause costs the same as mis-hearing it, and silence scores better than a wrong guess. CER runs alongside it — a model that heard the sounds and spelt them badly gets a poor WER and a decent CER, one that dropped the clause gets both bad. That gap is the diagnostic.</w:t>
      </w:r>
    </w:p>
    <w:p>
      <w:r>
        <w:rPr>
          <w:i w:val="0"/>
          <w:sz w:val="22"/>
        </w:rPr>
        <w:t>Critical-term recall is the measure that matters for an agent: the fraction of decision-carrying words — amounts, actions, account terms — that survived. An agent does not need a perfect transcript, it needs the words that decide which tool it calls.</w:t>
      </w:r>
    </w:p>
    <w:p>
      <w:r>
        <w:rPr>
          <w:i w:val="0"/>
          <w:sz w:val="22"/>
        </w:rPr>
        <w:t>TTS is scored by round trip: synthesise the reference, transcribe it with a fixed independent ASR (ElevenLabs Scribe, not one of the TTS systems under test), compare. Hallucination is content that was not in the input; transcript loss is input that never came back; a segment is lost when under a quarter survives. This measures intelligibility, which is what a caller experiences.</w:t>
      </w:r>
    </w:p>
    <w:p>
      <w:pPr>
        <w:spacing w:before="180" w:after="40"/>
      </w:pPr>
      <w:r>
        <w:rPr>
          <w:b/>
          <w:color w:val="1A1A1A"/>
          <w:sz w:val="26"/>
        </w:rPr>
        <w:t>3. ASR results — WER / CER per language</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2304"/>
          </w:tcPr>
          <w:p>
            <w:pPr>
              <w:spacing w:after="0"/>
              <w:jc w:val="left"/>
            </w:pPr>
            <w:r/>
            <w:r>
              <w:rPr>
                <w:b/>
                <w:sz w:val="19"/>
              </w:rPr>
              <w:t>Model</w:t>
            </w:r>
          </w:p>
        </w:tc>
        <w:tc>
          <w:tcPr>
            <w:tcW w:type="dxa" w:w="1584"/>
          </w:tcPr>
          <w:p>
            <w:pPr>
              <w:spacing w:after="0"/>
              <w:jc w:val="center"/>
            </w:pPr>
            <w:r/>
            <w:r>
              <w:rPr>
                <w:b/>
                <w:sz w:val="19"/>
              </w:rPr>
              <w:t>Hausa</w:t>
            </w:r>
          </w:p>
        </w:tc>
        <w:tc>
          <w:tcPr>
            <w:tcW w:type="dxa" w:w="1584"/>
          </w:tcPr>
          <w:p>
            <w:pPr>
              <w:spacing w:after="0"/>
              <w:jc w:val="center"/>
            </w:pPr>
            <w:r/>
            <w:r>
              <w:rPr>
                <w:b/>
                <w:sz w:val="19"/>
              </w:rPr>
              <w:t>Igbo</w:t>
            </w:r>
          </w:p>
        </w:tc>
        <w:tc>
          <w:tcPr>
            <w:tcW w:type="dxa" w:w="1584"/>
          </w:tcPr>
          <w:p>
            <w:pPr>
              <w:spacing w:after="0"/>
              <w:jc w:val="center"/>
            </w:pPr>
            <w:r/>
            <w:r>
              <w:rPr>
                <w:b/>
                <w:sz w:val="19"/>
              </w:rPr>
              <w:t>Pidgin</w:t>
            </w:r>
          </w:p>
        </w:tc>
        <w:tc>
          <w:tcPr>
            <w:tcW w:type="dxa" w:w="1584"/>
          </w:tcPr>
          <w:p>
            <w:pPr>
              <w:spacing w:after="0"/>
              <w:jc w:val="center"/>
            </w:pPr>
            <w:r/>
            <w:r>
              <w:rPr>
                <w:b/>
                <w:sz w:val="19"/>
              </w:rPr>
              <w:t>Yoruba</w:t>
            </w:r>
          </w:p>
        </w:tc>
        <w:tc>
          <w:tcPr>
            <w:tcW w:type="dxa" w:w="1728"/>
          </w:tcPr>
          <w:p>
            <w:pPr>
              <w:spacing w:after="0"/>
              <w:jc w:val="center"/>
            </w:pPr>
            <w:r/>
            <w:r>
              <w:rPr>
                <w:b/>
                <w:sz w:val="19"/>
              </w:rPr>
              <w:t>Overall</w:t>
            </w:r>
          </w:p>
        </w:tc>
      </w:tr>
      <w:tr>
        <w:tc>
          <w:tcPr>
            <w:tcW w:type="dxa" w:w="2304"/>
          </w:tcPr>
          <w:p>
            <w:pPr>
              <w:spacing w:after="0"/>
              <w:jc w:val="left"/>
            </w:pPr>
            <w:r/>
            <w:r>
              <w:rPr>
                <w:b/>
                <w:sz w:val="19"/>
              </w:rPr>
              <w:t>Intron / Sahara</w:t>
            </w:r>
          </w:p>
        </w:tc>
        <w:tc>
          <w:tcPr>
            <w:tcW w:type="dxa" w:w="1584"/>
          </w:tcPr>
          <w:p>
            <w:pPr>
              <w:spacing w:after="0"/>
              <w:jc w:val="center"/>
            </w:pPr>
            <w:r/>
            <w:r>
              <w:rPr>
                <w:sz w:val="19"/>
              </w:rPr>
              <w:t>0.40 / 0.24</w:t>
            </w:r>
          </w:p>
        </w:tc>
        <w:tc>
          <w:tcPr>
            <w:tcW w:type="dxa" w:w="1584"/>
          </w:tcPr>
          <w:p>
            <w:pPr>
              <w:spacing w:after="0"/>
              <w:jc w:val="center"/>
            </w:pPr>
            <w:r/>
            <w:r>
              <w:rPr>
                <w:sz w:val="19"/>
              </w:rPr>
              <w:t>0.55 / 0.25</w:t>
            </w:r>
          </w:p>
        </w:tc>
        <w:tc>
          <w:tcPr>
            <w:tcW w:type="dxa" w:w="1584"/>
          </w:tcPr>
          <w:p>
            <w:pPr>
              <w:spacing w:after="0"/>
              <w:jc w:val="center"/>
            </w:pPr>
            <w:r/>
            <w:r>
              <w:rPr>
                <w:sz w:val="19"/>
              </w:rPr>
              <w:t>0.31 / 0.17</w:t>
            </w:r>
          </w:p>
        </w:tc>
        <w:tc>
          <w:tcPr>
            <w:tcW w:type="dxa" w:w="1584"/>
          </w:tcPr>
          <w:p>
            <w:pPr>
              <w:spacing w:after="0"/>
              <w:jc w:val="center"/>
            </w:pPr>
            <w:r/>
            <w:r>
              <w:rPr>
                <w:sz w:val="19"/>
              </w:rPr>
              <w:t>0.86 / 0.50</w:t>
            </w:r>
          </w:p>
        </w:tc>
        <w:tc>
          <w:tcPr>
            <w:tcW w:type="dxa" w:w="1728"/>
          </w:tcPr>
          <w:p>
            <w:pPr>
              <w:spacing w:after="0"/>
              <w:jc w:val="center"/>
            </w:pPr>
            <w:r/>
            <w:r>
              <w:rPr>
                <w:sz w:val="19"/>
              </w:rPr>
              <w:t>0.53 / 0.29</w:t>
            </w:r>
          </w:p>
        </w:tc>
      </w:tr>
      <w:tr>
        <w:tc>
          <w:tcPr>
            <w:tcW w:type="dxa" w:w="2304"/>
          </w:tcPr>
          <w:p>
            <w:pPr>
              <w:spacing w:after="0"/>
              <w:jc w:val="left"/>
            </w:pPr>
            <w:r/>
            <w:r>
              <w:rPr>
                <w:b/>
                <w:sz w:val="19"/>
              </w:rPr>
              <w:t>ElevenLabs Scribe</w:t>
            </w:r>
          </w:p>
        </w:tc>
        <w:tc>
          <w:tcPr>
            <w:tcW w:type="dxa" w:w="1584"/>
          </w:tcPr>
          <w:p>
            <w:pPr>
              <w:spacing w:after="0"/>
              <w:jc w:val="center"/>
            </w:pPr>
            <w:r/>
            <w:r>
              <w:rPr>
                <w:sz w:val="19"/>
              </w:rPr>
              <w:t>0.33 / 0.11</w:t>
            </w:r>
          </w:p>
        </w:tc>
        <w:tc>
          <w:tcPr>
            <w:tcW w:type="dxa" w:w="1584"/>
          </w:tcPr>
          <w:p>
            <w:pPr>
              <w:spacing w:after="0"/>
              <w:jc w:val="center"/>
            </w:pPr>
            <w:r/>
            <w:r>
              <w:rPr>
                <w:sz w:val="19"/>
              </w:rPr>
              <w:t>0.46 / 0.18</w:t>
            </w:r>
          </w:p>
        </w:tc>
        <w:tc>
          <w:tcPr>
            <w:tcW w:type="dxa" w:w="1584"/>
          </w:tcPr>
          <w:p>
            <w:pPr>
              <w:spacing w:after="0"/>
              <w:jc w:val="center"/>
            </w:pPr>
            <w:r/>
            <w:r>
              <w:rPr>
                <w:sz w:val="19"/>
              </w:rPr>
              <w:t>0.28 / 0.17</w:t>
            </w:r>
          </w:p>
        </w:tc>
        <w:tc>
          <w:tcPr>
            <w:tcW w:type="dxa" w:w="1584"/>
          </w:tcPr>
          <w:p>
            <w:pPr>
              <w:spacing w:after="0"/>
              <w:jc w:val="center"/>
            </w:pPr>
            <w:r/>
            <w:r>
              <w:rPr>
                <w:sz w:val="19"/>
              </w:rPr>
              <w:t>0.90 / 0.38</w:t>
            </w:r>
          </w:p>
        </w:tc>
        <w:tc>
          <w:tcPr>
            <w:tcW w:type="dxa" w:w="1728"/>
          </w:tcPr>
          <w:p>
            <w:pPr>
              <w:spacing w:after="0"/>
              <w:jc w:val="center"/>
            </w:pPr>
            <w:r/>
            <w:r>
              <w:rPr>
                <w:sz w:val="19"/>
              </w:rPr>
              <w:t>0.49 / 0.21</w:t>
            </w:r>
          </w:p>
        </w:tc>
      </w:tr>
      <w:tr>
        <w:tc>
          <w:tcPr>
            <w:tcW w:type="dxa" w:w="2304"/>
          </w:tcPr>
          <w:p>
            <w:pPr>
              <w:spacing w:after="0"/>
              <w:jc w:val="left"/>
            </w:pPr>
            <w:r/>
            <w:r>
              <w:rPr>
                <w:b/>
                <w:sz w:val="19"/>
              </w:rPr>
              <w:t>Fine-tuned STT (ours)</w:t>
            </w:r>
          </w:p>
        </w:tc>
        <w:tc>
          <w:tcPr>
            <w:tcW w:type="dxa" w:w="1584"/>
          </w:tcPr>
          <w:p>
            <w:pPr>
              <w:spacing w:after="0"/>
              <w:jc w:val="center"/>
            </w:pPr>
            <w:r/>
            <w:r>
              <w:rPr>
                <w:sz w:val="19"/>
              </w:rPr>
              <w:t>0.82 / 0.59</w:t>
            </w:r>
          </w:p>
        </w:tc>
        <w:tc>
          <w:tcPr>
            <w:tcW w:type="dxa" w:w="1584"/>
          </w:tcPr>
          <w:p>
            <w:pPr>
              <w:spacing w:after="0"/>
              <w:jc w:val="center"/>
            </w:pPr>
            <w:r/>
            <w:r>
              <w:rPr>
                <w:sz w:val="19"/>
              </w:rPr>
              <w:t>0.97 / 0.64</w:t>
            </w:r>
          </w:p>
        </w:tc>
        <w:tc>
          <w:tcPr>
            <w:tcW w:type="dxa" w:w="1584"/>
          </w:tcPr>
          <w:p>
            <w:pPr>
              <w:spacing w:after="0"/>
              <w:jc w:val="center"/>
            </w:pPr>
            <w:r/>
            <w:r>
              <w:rPr>
                <w:sz w:val="19"/>
              </w:rPr>
              <w:t>1.14 / 1.01</w:t>
            </w:r>
          </w:p>
        </w:tc>
        <w:tc>
          <w:tcPr>
            <w:tcW w:type="dxa" w:w="1584"/>
          </w:tcPr>
          <w:p>
            <w:pPr>
              <w:spacing w:after="0"/>
              <w:jc w:val="center"/>
            </w:pPr>
            <w:r/>
            <w:r>
              <w:rPr>
                <w:sz w:val="19"/>
              </w:rPr>
              <w:t>0.98 / 0.61</w:t>
            </w:r>
          </w:p>
        </w:tc>
        <w:tc>
          <w:tcPr>
            <w:tcW w:type="dxa" w:w="1728"/>
          </w:tcPr>
          <w:p>
            <w:pPr>
              <w:spacing w:after="0"/>
              <w:jc w:val="center"/>
            </w:pPr>
            <w:r/>
            <w:r>
              <w:rPr>
                <w:sz w:val="19"/>
              </w:rPr>
              <w:t>0.98 / 0.71</w:t>
            </w:r>
          </w:p>
        </w:tc>
      </w:tr>
      <w:tr>
        <w:tc>
          <w:tcPr>
            <w:tcW w:type="dxa" w:w="2304"/>
          </w:tcPr>
          <w:p>
            <w:pPr>
              <w:spacing w:after="0"/>
              <w:jc w:val="left"/>
            </w:pPr>
            <w:r/>
            <w:r>
              <w:rPr>
                <w:b/>
                <w:sz w:val="19"/>
              </w:rPr>
              <w:t>Deepgram nova-2</w:t>
            </w:r>
          </w:p>
        </w:tc>
        <w:tc>
          <w:tcPr>
            <w:tcW w:type="dxa" w:w="1584"/>
          </w:tcPr>
          <w:p>
            <w:pPr>
              <w:spacing w:after="0"/>
              <w:jc w:val="center"/>
            </w:pPr>
            <w:r/>
            <w:r>
              <w:rPr>
                <w:sz w:val="19"/>
              </w:rPr>
              <w:t>0.89 / 0.83</w:t>
            </w:r>
          </w:p>
        </w:tc>
        <w:tc>
          <w:tcPr>
            <w:tcW w:type="dxa" w:w="1584"/>
          </w:tcPr>
          <w:p>
            <w:pPr>
              <w:spacing w:after="0"/>
              <w:jc w:val="center"/>
            </w:pPr>
            <w:r/>
            <w:r>
              <w:rPr>
                <w:sz w:val="19"/>
              </w:rPr>
              <w:t>0.66 / 0.64</w:t>
            </w:r>
          </w:p>
        </w:tc>
        <w:tc>
          <w:tcPr>
            <w:tcW w:type="dxa" w:w="1584"/>
          </w:tcPr>
          <w:p>
            <w:pPr>
              <w:spacing w:after="0"/>
              <w:jc w:val="center"/>
            </w:pPr>
            <w:r/>
            <w:r>
              <w:rPr>
                <w:sz w:val="19"/>
              </w:rPr>
              <w:t>0.66 / 0.60</w:t>
            </w:r>
          </w:p>
        </w:tc>
        <w:tc>
          <w:tcPr>
            <w:tcW w:type="dxa" w:w="1584"/>
          </w:tcPr>
          <w:p>
            <w:pPr>
              <w:spacing w:after="0"/>
              <w:jc w:val="center"/>
            </w:pPr>
            <w:r/>
            <w:r>
              <w:rPr>
                <w:sz w:val="19"/>
              </w:rPr>
              <w:t>0.96 / 0.96</w:t>
            </w:r>
          </w:p>
        </w:tc>
        <w:tc>
          <w:tcPr>
            <w:tcW w:type="dxa" w:w="1728"/>
          </w:tcPr>
          <w:p>
            <w:pPr>
              <w:spacing w:after="0"/>
              <w:jc w:val="center"/>
            </w:pPr>
            <w:r/>
            <w:r>
              <w:rPr>
                <w:sz w:val="19"/>
              </w:rPr>
              <w:t>0.79 / 0.76</w:t>
            </w:r>
          </w:p>
        </w:tc>
      </w:tr>
    </w:tbl>
    <w:p>
      <w:r>
        <w:rPr>
          <w:i/>
          <w:sz w:val="19"/>
        </w:rPr>
        <w:t>Lower is better. Each cell is WER / CER, mean of four clips.</w:t>
      </w:r>
    </w:p>
    <w:p>
      <w:pPr>
        <w:spacing w:before="180" w:after="40"/>
      </w:pPr>
      <w:r>
        <w:rPr>
          <w:b/>
          <w:color w:val="1A1A1A"/>
          <w:sz w:val="26"/>
        </w:rPr>
        <w:t>4. Downstream-task performance</w:t>
      </w:r>
    </w:p>
    <w:p>
      <w:r>
        <w:rPr>
          <w:i w:val="0"/>
          <w:sz w:val="22"/>
        </w:rPr>
        <w:t>The transcript is an input to tool calls, not the deliverable. Critical-term recall is measured only on clips whose reference contains one (3 of 16), so it is directional. Benchmark latency includes the harness's rate-limit pacing and cold starts; the live column is the deployed pipeline.</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160"/>
          </w:tcPr>
          <w:p>
            <w:pPr>
              <w:spacing w:after="0"/>
              <w:jc w:val="left"/>
            </w:pPr>
            <w:r/>
            <w:r>
              <w:rPr>
                <w:b/>
                <w:sz w:val="19"/>
              </w:rPr>
              <w:t>Model</w:t>
            </w:r>
          </w:p>
        </w:tc>
        <w:tc>
          <w:tcPr>
            <w:tcW w:type="dxa" w:w="1368"/>
          </w:tcPr>
          <w:p>
            <w:pPr>
              <w:spacing w:after="0"/>
              <w:jc w:val="center"/>
            </w:pPr>
            <w:r/>
            <w:r>
              <w:rPr>
                <w:b/>
                <w:sz w:val="19"/>
              </w:rPr>
              <w:t>Critical recall</w:t>
            </w:r>
          </w:p>
        </w:tc>
        <w:tc>
          <w:tcPr>
            <w:tcW w:type="dxa" w:w="1296"/>
          </w:tcPr>
          <w:p>
            <w:pPr>
              <w:spacing w:after="0"/>
              <w:jc w:val="center"/>
            </w:pPr>
            <w:r/>
            <w:r>
              <w:rPr>
                <w:b/>
                <w:sz w:val="19"/>
              </w:rPr>
              <w:t>Bench latency</w:t>
            </w:r>
          </w:p>
        </w:tc>
        <w:tc>
          <w:tcPr>
            <w:tcW w:type="dxa" w:w="1152"/>
          </w:tcPr>
          <w:p>
            <w:pPr>
              <w:spacing w:after="0"/>
              <w:jc w:val="center"/>
            </w:pPr>
            <w:r/>
            <w:r>
              <w:rPr>
                <w:b/>
                <w:sz w:val="19"/>
              </w:rPr>
              <w:t>Live turn</w:t>
            </w:r>
          </w:p>
        </w:tc>
        <w:tc>
          <w:tcPr>
            <w:tcW w:type="dxa" w:w="3744"/>
          </w:tcPr>
          <w:p>
            <w:pPr>
              <w:spacing w:after="0"/>
              <w:jc w:val="center"/>
            </w:pPr>
            <w:r/>
            <w:r>
              <w:rPr>
                <w:b/>
                <w:sz w:val="19"/>
              </w:rPr>
              <w:t>Verdict</w:t>
            </w:r>
          </w:p>
        </w:tc>
      </w:tr>
      <w:tr>
        <w:tc>
          <w:tcPr>
            <w:tcW w:type="dxa" w:w="2160"/>
          </w:tcPr>
          <w:p>
            <w:pPr>
              <w:spacing w:after="0"/>
              <w:jc w:val="left"/>
            </w:pPr>
            <w:r/>
            <w:r>
              <w:rPr>
                <w:b/>
                <w:sz w:val="19"/>
              </w:rPr>
              <w:t>Intron / Sahara</w:t>
            </w:r>
          </w:p>
        </w:tc>
        <w:tc>
          <w:tcPr>
            <w:tcW w:type="dxa" w:w="1368"/>
          </w:tcPr>
          <w:p>
            <w:pPr>
              <w:spacing w:after="0"/>
              <w:jc w:val="center"/>
            </w:pPr>
            <w:r/>
            <w:r>
              <w:rPr>
                <w:sz w:val="19"/>
              </w:rPr>
              <w:t>0.67</w:t>
            </w:r>
          </w:p>
        </w:tc>
        <w:tc>
          <w:tcPr>
            <w:tcW w:type="dxa" w:w="1296"/>
          </w:tcPr>
          <w:p>
            <w:pPr>
              <w:spacing w:after="0"/>
              <w:jc w:val="center"/>
            </w:pPr>
            <w:r/>
            <w:r>
              <w:rPr>
                <w:sz w:val="19"/>
              </w:rPr>
              <w:t>29.4 s</w:t>
            </w:r>
          </w:p>
        </w:tc>
        <w:tc>
          <w:tcPr>
            <w:tcW w:type="dxa" w:w="1152"/>
          </w:tcPr>
          <w:p>
            <w:pPr>
              <w:spacing w:after="0"/>
              <w:jc w:val="center"/>
            </w:pPr>
            <w:r/>
            <w:r>
              <w:rPr>
                <w:sz w:val="19"/>
              </w:rPr>
              <w:t>4.1-5.9 s</w:t>
            </w:r>
          </w:p>
        </w:tc>
        <w:tc>
          <w:tcPr>
            <w:tcW w:type="dxa" w:w="3744"/>
          </w:tcPr>
          <w:p>
            <w:pPr>
              <w:spacing w:after="0"/>
              <w:jc w:val="center"/>
            </w:pPr>
            <w:r/>
            <w:r>
              <w:rPr>
                <w:sz w:val="19"/>
              </w:rPr>
              <w:t>Only model that kept both languages</w:t>
            </w:r>
          </w:p>
        </w:tc>
      </w:tr>
      <w:tr>
        <w:tc>
          <w:tcPr>
            <w:tcW w:type="dxa" w:w="2160"/>
          </w:tcPr>
          <w:p>
            <w:pPr>
              <w:spacing w:after="0"/>
              <w:jc w:val="left"/>
            </w:pPr>
            <w:r/>
            <w:r>
              <w:rPr>
                <w:b/>
                <w:sz w:val="19"/>
              </w:rPr>
              <w:t>ElevenLabs Scribe</w:t>
            </w:r>
          </w:p>
        </w:tc>
        <w:tc>
          <w:tcPr>
            <w:tcW w:type="dxa" w:w="1368"/>
          </w:tcPr>
          <w:p>
            <w:pPr>
              <w:spacing w:after="0"/>
              <w:jc w:val="center"/>
            </w:pPr>
            <w:r/>
            <w:r>
              <w:rPr>
                <w:sz w:val="19"/>
              </w:rPr>
              <w:t>1.00</w:t>
            </w:r>
          </w:p>
        </w:tc>
        <w:tc>
          <w:tcPr>
            <w:tcW w:type="dxa" w:w="1296"/>
          </w:tcPr>
          <w:p>
            <w:pPr>
              <w:spacing w:after="0"/>
              <w:jc w:val="center"/>
            </w:pPr>
            <w:r/>
            <w:r>
              <w:rPr>
                <w:sz w:val="19"/>
              </w:rPr>
              <w:t>2.5 s</w:t>
            </w:r>
          </w:p>
        </w:tc>
        <w:tc>
          <w:tcPr>
            <w:tcW w:type="dxa" w:w="1152"/>
          </w:tcPr>
          <w:p>
            <w:pPr>
              <w:spacing w:after="0"/>
              <w:jc w:val="center"/>
            </w:pPr>
            <w:r/>
            <w:r>
              <w:rPr>
                <w:sz w:val="19"/>
              </w:rPr>
              <w:t>2.3 s</w:t>
            </w:r>
          </w:p>
        </w:tc>
        <w:tc>
          <w:tcPr>
            <w:tcW w:type="dxa" w:w="3744"/>
          </w:tcPr>
          <w:p>
            <w:pPr>
              <w:spacing w:after="0"/>
              <w:jc w:val="center"/>
            </w:pPr>
            <w:r/>
            <w:r>
              <w:rPr>
                <w:sz w:val="19"/>
              </w:rPr>
              <w:t>Most accurate; kept every critical term</w:t>
            </w:r>
          </w:p>
        </w:tc>
      </w:tr>
      <w:tr>
        <w:tc>
          <w:tcPr>
            <w:tcW w:type="dxa" w:w="2160"/>
          </w:tcPr>
          <w:p>
            <w:pPr>
              <w:spacing w:after="0"/>
              <w:jc w:val="left"/>
            </w:pPr>
            <w:r/>
            <w:r>
              <w:rPr>
                <w:b/>
                <w:sz w:val="19"/>
              </w:rPr>
              <w:t>Fine-tuned STT (ours)</w:t>
            </w:r>
          </w:p>
        </w:tc>
        <w:tc>
          <w:tcPr>
            <w:tcW w:type="dxa" w:w="1368"/>
          </w:tcPr>
          <w:p>
            <w:pPr>
              <w:spacing w:after="0"/>
              <w:jc w:val="center"/>
            </w:pPr>
            <w:r/>
            <w:r>
              <w:rPr>
                <w:sz w:val="19"/>
              </w:rPr>
              <w:t>0.00</w:t>
            </w:r>
          </w:p>
        </w:tc>
        <w:tc>
          <w:tcPr>
            <w:tcW w:type="dxa" w:w="1296"/>
          </w:tcPr>
          <w:p>
            <w:pPr>
              <w:spacing w:after="0"/>
              <w:jc w:val="center"/>
            </w:pPr>
            <w:r/>
            <w:r>
              <w:rPr>
                <w:sz w:val="19"/>
              </w:rPr>
              <w:t>2.6 s</w:t>
            </w:r>
          </w:p>
        </w:tc>
        <w:tc>
          <w:tcPr>
            <w:tcW w:type="dxa" w:w="1152"/>
          </w:tcPr>
          <w:p>
            <w:pPr>
              <w:spacing w:after="0"/>
              <w:jc w:val="center"/>
            </w:pPr>
            <w:r/>
            <w:r>
              <w:rPr>
                <w:sz w:val="19"/>
              </w:rPr>
              <w:t>~2.5 s</w:t>
            </w:r>
          </w:p>
        </w:tc>
        <w:tc>
          <w:tcPr>
            <w:tcW w:type="dxa" w:w="3744"/>
          </w:tcPr>
          <w:p>
            <w:pPr>
              <w:spacing w:after="0"/>
              <w:jc w:val="center"/>
            </w:pPr>
            <w:r/>
            <w:r>
              <w:rPr>
                <w:sz w:val="19"/>
              </w:rPr>
              <w:t>Lost every critical term tested</w:t>
            </w:r>
          </w:p>
        </w:tc>
      </w:tr>
      <w:tr>
        <w:tc>
          <w:tcPr>
            <w:tcW w:type="dxa" w:w="2160"/>
          </w:tcPr>
          <w:p>
            <w:pPr>
              <w:spacing w:after="0"/>
              <w:jc w:val="left"/>
            </w:pPr>
            <w:r/>
            <w:r>
              <w:rPr>
                <w:b/>
                <w:sz w:val="19"/>
              </w:rPr>
              <w:t>Deepgram nova-2</w:t>
            </w:r>
          </w:p>
        </w:tc>
        <w:tc>
          <w:tcPr>
            <w:tcW w:type="dxa" w:w="1368"/>
          </w:tcPr>
          <w:p>
            <w:pPr>
              <w:spacing w:after="0"/>
              <w:jc w:val="center"/>
            </w:pPr>
            <w:r/>
            <w:r>
              <w:rPr>
                <w:sz w:val="19"/>
              </w:rPr>
              <w:t>0.67</w:t>
            </w:r>
          </w:p>
        </w:tc>
        <w:tc>
          <w:tcPr>
            <w:tcW w:type="dxa" w:w="1296"/>
          </w:tcPr>
          <w:p>
            <w:pPr>
              <w:spacing w:after="0"/>
              <w:jc w:val="center"/>
            </w:pPr>
            <w:r/>
            <w:r>
              <w:rPr>
                <w:sz w:val="19"/>
              </w:rPr>
              <w:t>2.2 s</w:t>
            </w:r>
          </w:p>
        </w:tc>
        <w:tc>
          <w:tcPr>
            <w:tcW w:type="dxa" w:w="1152"/>
          </w:tcPr>
          <w:p>
            <w:pPr>
              <w:spacing w:after="0"/>
              <w:jc w:val="center"/>
            </w:pPr>
            <w:r/>
            <w:r>
              <w:rPr>
                <w:sz w:val="19"/>
              </w:rPr>
              <w:t>~0.3 s</w:t>
            </w:r>
          </w:p>
        </w:tc>
        <w:tc>
          <w:tcPr>
            <w:tcW w:type="dxa" w:w="3744"/>
          </w:tcPr>
          <w:p>
            <w:pPr>
              <w:spacing w:after="0"/>
              <w:jc w:val="center"/>
            </w:pPr>
            <w:r/>
            <w:r>
              <w:rPr>
                <w:sz w:val="19"/>
              </w:rPr>
              <w:t>Fast, deaf to three of the four</w:t>
            </w:r>
          </w:p>
        </w:tc>
      </w:tr>
    </w:tbl>
    <w:p>
      <w:pPr>
        <w:spacing w:before="180" w:after="40"/>
      </w:pPr>
      <w:r>
        <w:rPr>
          <w:b/>
          <w:color w:val="1A1A1A"/>
          <w:sz w:val="26"/>
        </w:rPr>
        <w:t>5. TTS results — round-trip WER per language</w:t>
      </w:r>
    </w:p>
    <w:tbl>
      <w:tblPr>
        <w:tblStyle w:val="TableGrid"/>
        <w:tblW w:type="auto" w:w="0"/>
        <w:jc w:val="center"/>
        <w:tblLook w:firstColumn="1" w:firstRow="1" w:lastColumn="0" w:lastRow="0" w:noHBand="0" w:noVBand="1" w:val="04A0"/>
      </w:tblPr>
      <w:tblGrid>
        <w:gridCol w:w="1136"/>
        <w:gridCol w:w="1136"/>
        <w:gridCol w:w="1136"/>
        <w:gridCol w:w="1136"/>
        <w:gridCol w:w="1136"/>
        <w:gridCol w:w="1136"/>
        <w:gridCol w:w="1136"/>
        <w:gridCol w:w="1136"/>
        <w:gridCol w:w="1136"/>
      </w:tblGrid>
      <w:tr>
        <w:tc>
          <w:tcPr>
            <w:tcW w:type="dxa" w:w="2376"/>
          </w:tcPr>
          <w:p>
            <w:pPr>
              <w:spacing w:after="0"/>
              <w:jc w:val="left"/>
            </w:pPr>
            <w:r/>
            <w:r>
              <w:rPr>
                <w:b/>
                <w:sz w:val="19"/>
              </w:rPr>
              <w:t>Model</w:t>
            </w:r>
          </w:p>
        </w:tc>
        <w:tc>
          <w:tcPr>
            <w:tcW w:type="dxa" w:w="1037"/>
          </w:tcPr>
          <w:p>
            <w:pPr>
              <w:spacing w:after="0"/>
              <w:jc w:val="center"/>
            </w:pPr>
            <w:r/>
            <w:r>
              <w:rPr>
                <w:b/>
                <w:sz w:val="19"/>
              </w:rPr>
              <w:t>Hausa</w:t>
            </w:r>
          </w:p>
        </w:tc>
        <w:tc>
          <w:tcPr>
            <w:tcW w:type="dxa" w:w="1037"/>
          </w:tcPr>
          <w:p>
            <w:pPr>
              <w:spacing w:after="0"/>
              <w:jc w:val="center"/>
            </w:pPr>
            <w:r/>
            <w:r>
              <w:rPr>
                <w:b/>
                <w:sz w:val="19"/>
              </w:rPr>
              <w:t>Igbo</w:t>
            </w:r>
          </w:p>
        </w:tc>
        <w:tc>
          <w:tcPr>
            <w:tcW w:type="dxa" w:w="1037"/>
          </w:tcPr>
          <w:p>
            <w:pPr>
              <w:spacing w:after="0"/>
              <w:jc w:val="center"/>
            </w:pPr>
            <w:r/>
            <w:r>
              <w:rPr>
                <w:b/>
                <w:sz w:val="19"/>
              </w:rPr>
              <w:t>Pidgin</w:t>
            </w:r>
          </w:p>
        </w:tc>
        <w:tc>
          <w:tcPr>
            <w:tcW w:type="dxa" w:w="1037"/>
          </w:tcPr>
          <w:p>
            <w:pPr>
              <w:spacing w:after="0"/>
              <w:jc w:val="center"/>
            </w:pPr>
            <w:r/>
            <w:r>
              <w:rPr>
                <w:b/>
                <w:sz w:val="19"/>
              </w:rPr>
              <w:t>Yoruba</w:t>
            </w:r>
          </w:p>
        </w:tc>
        <w:tc>
          <w:tcPr>
            <w:tcW w:type="dxa" w:w="1037"/>
          </w:tcPr>
          <w:p>
            <w:pPr>
              <w:spacing w:after="0"/>
              <w:jc w:val="center"/>
            </w:pPr>
            <w:r/>
            <w:r>
              <w:rPr>
                <w:b/>
                <w:sz w:val="19"/>
              </w:rPr>
              <w:t>WER</w:t>
            </w:r>
          </w:p>
        </w:tc>
        <w:tc>
          <w:tcPr>
            <w:tcW w:type="dxa" w:w="1080"/>
          </w:tcPr>
          <w:p>
            <w:pPr>
              <w:spacing w:after="0"/>
              <w:jc w:val="center"/>
            </w:pPr>
            <w:r/>
            <w:r>
              <w:rPr>
                <w:b/>
                <w:sz w:val="19"/>
              </w:rPr>
              <w:t>Halluc.</w:t>
            </w:r>
          </w:p>
        </w:tc>
        <w:tc>
          <w:tcPr>
            <w:tcW w:type="dxa" w:w="979"/>
          </w:tcPr>
          <w:p>
            <w:pPr>
              <w:spacing w:after="0"/>
              <w:jc w:val="center"/>
            </w:pPr>
            <w:r/>
            <w:r>
              <w:rPr>
                <w:b/>
                <w:sz w:val="19"/>
              </w:rPr>
              <w:t>Loss</w:t>
            </w:r>
          </w:p>
        </w:tc>
        <w:tc>
          <w:tcPr>
            <w:tcW w:type="dxa" w:w="1123"/>
          </w:tcPr>
          <w:p>
            <w:pPr>
              <w:spacing w:after="0"/>
              <w:jc w:val="center"/>
            </w:pPr>
            <w:r/>
            <w:r>
              <w:rPr>
                <w:b/>
                <w:sz w:val="19"/>
              </w:rPr>
              <w:t>Seg lost</w:t>
            </w:r>
          </w:p>
        </w:tc>
      </w:tr>
      <w:tr>
        <w:tc>
          <w:tcPr>
            <w:tcW w:type="dxa" w:w="2376"/>
          </w:tcPr>
          <w:p>
            <w:pPr>
              <w:spacing w:after="0"/>
              <w:jc w:val="left"/>
            </w:pPr>
            <w:r/>
            <w:r>
              <w:rPr>
                <w:b/>
                <w:sz w:val="19"/>
              </w:rPr>
              <w:t>Intron / Sahara</w:t>
            </w:r>
          </w:p>
        </w:tc>
        <w:tc>
          <w:tcPr>
            <w:tcW w:type="dxa" w:w="1037"/>
          </w:tcPr>
          <w:p>
            <w:pPr>
              <w:spacing w:after="0"/>
              <w:jc w:val="center"/>
            </w:pPr>
            <w:r/>
            <w:r>
              <w:rPr>
                <w:sz w:val="19"/>
              </w:rPr>
              <w:t>0.72</w:t>
            </w:r>
          </w:p>
        </w:tc>
        <w:tc>
          <w:tcPr>
            <w:tcW w:type="dxa" w:w="1037"/>
          </w:tcPr>
          <w:p>
            <w:pPr>
              <w:spacing w:after="0"/>
              <w:jc w:val="center"/>
            </w:pPr>
            <w:r/>
            <w:r>
              <w:rPr>
                <w:sz w:val="19"/>
              </w:rPr>
              <w:t>0.33</w:t>
            </w:r>
          </w:p>
        </w:tc>
        <w:tc>
          <w:tcPr>
            <w:tcW w:type="dxa" w:w="1037"/>
          </w:tcPr>
          <w:p>
            <w:pPr>
              <w:spacing w:after="0"/>
              <w:jc w:val="center"/>
            </w:pPr>
            <w:r/>
            <w:r>
              <w:rPr>
                <w:sz w:val="19"/>
              </w:rPr>
              <w:t>0.46</w:t>
            </w:r>
          </w:p>
        </w:tc>
        <w:tc>
          <w:tcPr>
            <w:tcW w:type="dxa" w:w="1037"/>
          </w:tcPr>
          <w:p>
            <w:pPr>
              <w:spacing w:after="0"/>
              <w:jc w:val="center"/>
            </w:pPr>
            <w:r/>
            <w:r>
              <w:rPr>
                <w:sz w:val="19"/>
              </w:rPr>
              <w:t>0.93</w:t>
            </w:r>
          </w:p>
        </w:tc>
        <w:tc>
          <w:tcPr>
            <w:tcW w:type="dxa" w:w="1037"/>
          </w:tcPr>
          <w:p>
            <w:pPr>
              <w:spacing w:after="0"/>
              <w:jc w:val="center"/>
            </w:pPr>
            <w:r/>
            <w:r>
              <w:rPr>
                <w:sz w:val="19"/>
              </w:rPr>
              <w:t>0.61</w:t>
            </w:r>
          </w:p>
        </w:tc>
        <w:tc>
          <w:tcPr>
            <w:tcW w:type="dxa" w:w="1080"/>
          </w:tcPr>
          <w:p>
            <w:pPr>
              <w:spacing w:after="0"/>
              <w:jc w:val="center"/>
            </w:pPr>
            <w:r/>
            <w:r>
              <w:rPr>
                <w:sz w:val="19"/>
              </w:rPr>
              <w:t>0.23</w:t>
            </w:r>
          </w:p>
        </w:tc>
        <w:tc>
          <w:tcPr>
            <w:tcW w:type="dxa" w:w="979"/>
          </w:tcPr>
          <w:p>
            <w:pPr>
              <w:spacing w:after="0"/>
              <w:jc w:val="center"/>
            </w:pPr>
            <w:r/>
            <w:r>
              <w:rPr>
                <w:sz w:val="19"/>
              </w:rPr>
              <w:t>0.59</w:t>
            </w:r>
          </w:p>
        </w:tc>
        <w:tc>
          <w:tcPr>
            <w:tcW w:type="dxa" w:w="1123"/>
          </w:tcPr>
          <w:p>
            <w:pPr>
              <w:spacing w:after="0"/>
              <w:jc w:val="center"/>
            </w:pPr>
            <w:r/>
            <w:r>
              <w:rPr>
                <w:sz w:val="19"/>
              </w:rPr>
              <w:t>0.12</w:t>
            </w:r>
          </w:p>
        </w:tc>
      </w:tr>
      <w:tr>
        <w:tc>
          <w:tcPr>
            <w:tcW w:type="dxa" w:w="2376"/>
          </w:tcPr>
          <w:p>
            <w:pPr>
              <w:spacing w:after="0"/>
              <w:jc w:val="left"/>
            </w:pPr>
            <w:r/>
            <w:r>
              <w:rPr>
                <w:b/>
                <w:sz w:val="19"/>
              </w:rPr>
              <w:t>ElevenLabs multiling. v2</w:t>
            </w:r>
          </w:p>
        </w:tc>
        <w:tc>
          <w:tcPr>
            <w:tcW w:type="dxa" w:w="1037"/>
          </w:tcPr>
          <w:p>
            <w:pPr>
              <w:spacing w:after="0"/>
              <w:jc w:val="center"/>
            </w:pPr>
            <w:r/>
            <w:r>
              <w:rPr>
                <w:sz w:val="19"/>
              </w:rPr>
              <w:t>0.30</w:t>
            </w:r>
          </w:p>
        </w:tc>
        <w:tc>
          <w:tcPr>
            <w:tcW w:type="dxa" w:w="1037"/>
          </w:tcPr>
          <w:p>
            <w:pPr>
              <w:spacing w:after="0"/>
              <w:jc w:val="center"/>
            </w:pPr>
            <w:r/>
            <w:r>
              <w:rPr>
                <w:sz w:val="19"/>
              </w:rPr>
              <w:t>0.37</w:t>
            </w:r>
          </w:p>
        </w:tc>
        <w:tc>
          <w:tcPr>
            <w:tcW w:type="dxa" w:w="1037"/>
          </w:tcPr>
          <w:p>
            <w:pPr>
              <w:spacing w:after="0"/>
              <w:jc w:val="center"/>
            </w:pPr>
            <w:r/>
            <w:r>
              <w:rPr>
                <w:sz w:val="19"/>
              </w:rPr>
              <w:t>0.09</w:t>
            </w:r>
          </w:p>
        </w:tc>
        <w:tc>
          <w:tcPr>
            <w:tcW w:type="dxa" w:w="1037"/>
          </w:tcPr>
          <w:p>
            <w:pPr>
              <w:spacing w:after="0"/>
              <w:jc w:val="center"/>
            </w:pPr>
            <w:r/>
            <w:r>
              <w:rPr>
                <w:sz w:val="19"/>
              </w:rPr>
              <w:t>0.53</w:t>
            </w:r>
          </w:p>
        </w:tc>
        <w:tc>
          <w:tcPr>
            <w:tcW w:type="dxa" w:w="1037"/>
          </w:tcPr>
          <w:p>
            <w:pPr>
              <w:spacing w:after="0"/>
              <w:jc w:val="center"/>
            </w:pPr>
            <w:r/>
            <w:r>
              <w:rPr>
                <w:sz w:val="19"/>
              </w:rPr>
              <w:t>0.32</w:t>
            </w:r>
          </w:p>
        </w:tc>
        <w:tc>
          <w:tcPr>
            <w:tcW w:type="dxa" w:w="1080"/>
          </w:tcPr>
          <w:p>
            <w:pPr>
              <w:spacing w:after="0"/>
              <w:jc w:val="center"/>
            </w:pPr>
            <w:r/>
            <w:r>
              <w:rPr>
                <w:sz w:val="19"/>
              </w:rPr>
              <w:t>0.26</w:t>
            </w:r>
          </w:p>
        </w:tc>
        <w:tc>
          <w:tcPr>
            <w:tcW w:type="dxa" w:w="979"/>
          </w:tcPr>
          <w:p>
            <w:pPr>
              <w:spacing w:after="0"/>
              <w:jc w:val="center"/>
            </w:pPr>
            <w:r/>
            <w:r>
              <w:rPr>
                <w:sz w:val="19"/>
              </w:rPr>
              <w:t>0.29</w:t>
            </w:r>
          </w:p>
        </w:tc>
        <w:tc>
          <w:tcPr>
            <w:tcW w:type="dxa" w:w="1123"/>
          </w:tcPr>
          <w:p>
            <w:pPr>
              <w:spacing w:after="0"/>
              <w:jc w:val="center"/>
            </w:pPr>
            <w:r/>
            <w:r>
              <w:rPr>
                <w:sz w:val="19"/>
              </w:rPr>
              <w:t>0.00</w:t>
            </w:r>
          </w:p>
        </w:tc>
      </w:tr>
      <w:tr>
        <w:tc>
          <w:tcPr>
            <w:tcW w:type="dxa" w:w="2376"/>
          </w:tcPr>
          <w:p>
            <w:pPr>
              <w:spacing w:after="0"/>
              <w:jc w:val="left"/>
            </w:pPr>
            <w:r/>
            <w:r>
              <w:rPr>
                <w:b/>
                <w:sz w:val="19"/>
              </w:rPr>
              <w:t>Fine-tuned TTS (ours)</w:t>
            </w:r>
          </w:p>
        </w:tc>
        <w:tc>
          <w:tcPr>
            <w:tcW w:type="dxa" w:w="1037"/>
          </w:tcPr>
          <w:p>
            <w:pPr>
              <w:spacing w:after="0"/>
              <w:jc w:val="center"/>
            </w:pPr>
            <w:r/>
            <w:r>
              <w:rPr>
                <w:sz w:val="19"/>
              </w:rPr>
              <w:t>0.27</w:t>
            </w:r>
          </w:p>
        </w:tc>
        <w:tc>
          <w:tcPr>
            <w:tcW w:type="dxa" w:w="1037"/>
          </w:tcPr>
          <w:p>
            <w:pPr>
              <w:spacing w:after="0"/>
              <w:jc w:val="center"/>
            </w:pPr>
            <w:r/>
            <w:r>
              <w:rPr>
                <w:sz w:val="19"/>
              </w:rPr>
              <w:t>0.56</w:t>
            </w:r>
          </w:p>
        </w:tc>
        <w:tc>
          <w:tcPr>
            <w:tcW w:type="dxa" w:w="1037"/>
          </w:tcPr>
          <w:p>
            <w:pPr>
              <w:spacing w:after="0"/>
              <w:jc w:val="center"/>
            </w:pPr>
            <w:r/>
            <w:r>
              <w:rPr>
                <w:sz w:val="19"/>
              </w:rPr>
              <w:t>0.28</w:t>
            </w:r>
          </w:p>
        </w:tc>
        <w:tc>
          <w:tcPr>
            <w:tcW w:type="dxa" w:w="1037"/>
          </w:tcPr>
          <w:p>
            <w:pPr>
              <w:spacing w:after="0"/>
              <w:jc w:val="center"/>
            </w:pPr>
            <w:r/>
            <w:r>
              <w:rPr>
                <w:sz w:val="19"/>
              </w:rPr>
              <w:t>0.86</w:t>
            </w:r>
          </w:p>
        </w:tc>
        <w:tc>
          <w:tcPr>
            <w:tcW w:type="dxa" w:w="1037"/>
          </w:tcPr>
          <w:p>
            <w:pPr>
              <w:spacing w:after="0"/>
              <w:jc w:val="center"/>
            </w:pPr>
            <w:r/>
            <w:r>
              <w:rPr>
                <w:sz w:val="19"/>
              </w:rPr>
              <w:t>0.49</w:t>
            </w:r>
          </w:p>
        </w:tc>
        <w:tc>
          <w:tcPr>
            <w:tcW w:type="dxa" w:w="1080"/>
          </w:tcPr>
          <w:p>
            <w:pPr>
              <w:spacing w:after="0"/>
              <w:jc w:val="center"/>
            </w:pPr>
            <w:r/>
            <w:r>
              <w:rPr>
                <w:sz w:val="19"/>
              </w:rPr>
              <w:t>0.44</w:t>
            </w:r>
          </w:p>
        </w:tc>
        <w:tc>
          <w:tcPr>
            <w:tcW w:type="dxa" w:w="979"/>
          </w:tcPr>
          <w:p>
            <w:pPr>
              <w:spacing w:after="0"/>
              <w:jc w:val="center"/>
            </w:pPr>
            <w:r/>
            <w:r>
              <w:rPr>
                <w:sz w:val="19"/>
              </w:rPr>
              <w:t>0.41</w:t>
            </w:r>
          </w:p>
        </w:tc>
        <w:tc>
          <w:tcPr>
            <w:tcW w:type="dxa" w:w="1123"/>
          </w:tcPr>
          <w:p>
            <w:pPr>
              <w:spacing w:after="0"/>
              <w:jc w:val="center"/>
            </w:pPr>
            <w:r/>
            <w:r>
              <w:rPr>
                <w:sz w:val="19"/>
              </w:rPr>
              <w:t>0.00</w:t>
            </w:r>
          </w:p>
        </w:tc>
      </w:tr>
    </w:tbl>
    <w:p>
      <w:r>
        <w:rPr>
          <w:i/>
          <w:sz w:val="19"/>
        </w:rPr>
        <w:t>Scored by ElevenLabs Scribe. Lower is better throughout.</w:t>
      </w:r>
    </w:p>
    <w:p>
      <w:pPr>
        <w:spacing w:before="180" w:after="40"/>
      </w:pPr>
      <w:r>
        <w:rPr>
          <w:b/>
          <w:color w:val="1A1A1A"/>
          <w:sz w:val="26"/>
        </w:rPr>
        <w:t>6. Qualitative findings, per model per language</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16"/>
          </w:tcPr>
          <w:p>
            <w:pPr>
              <w:spacing w:after="0"/>
              <w:jc w:val="left"/>
            </w:pPr>
            <w:r/>
            <w:r>
              <w:rPr>
                <w:b/>
                <w:sz w:val="19"/>
              </w:rPr>
              <w:t>Model</w:t>
            </w:r>
          </w:p>
        </w:tc>
        <w:tc>
          <w:tcPr>
            <w:tcW w:type="dxa" w:w="1368"/>
          </w:tcPr>
          <w:p>
            <w:pPr>
              <w:spacing w:after="0"/>
              <w:jc w:val="center"/>
            </w:pPr>
            <w:r/>
            <w:r>
              <w:rPr>
                <w:b/>
                <w:sz w:val="19"/>
              </w:rPr>
              <w:t>Best</w:t>
            </w:r>
          </w:p>
        </w:tc>
        <w:tc>
          <w:tcPr>
            <w:tcW w:type="dxa" w:w="1224"/>
          </w:tcPr>
          <w:p>
            <w:pPr>
              <w:spacing w:after="0"/>
              <w:jc w:val="center"/>
            </w:pPr>
            <w:r/>
            <w:r>
              <w:rPr>
                <w:b/>
                <w:sz w:val="19"/>
              </w:rPr>
              <w:t>Worst</w:t>
            </w:r>
          </w:p>
        </w:tc>
        <w:tc>
          <w:tcPr>
            <w:tcW w:type="dxa" w:w="1944"/>
          </w:tcPr>
          <w:p>
            <w:pPr>
              <w:spacing w:after="0"/>
              <w:jc w:val="center"/>
            </w:pPr>
            <w:r/>
            <w:r>
              <w:rPr>
                <w:b/>
                <w:sz w:val="19"/>
              </w:rPr>
              <w:t>Others</w:t>
            </w:r>
          </w:p>
        </w:tc>
        <w:tc>
          <w:tcPr>
            <w:tcW w:type="dxa" w:w="3168"/>
          </w:tcPr>
          <w:p>
            <w:pPr>
              <w:spacing w:after="0"/>
              <w:jc w:val="center"/>
            </w:pPr>
            <w:r/>
            <w:r>
              <w:rPr>
                <w:b/>
                <w:sz w:val="19"/>
              </w:rPr>
              <w:t>How it fails</w:t>
            </w:r>
          </w:p>
        </w:tc>
      </w:tr>
      <w:tr>
        <w:tc>
          <w:tcPr>
            <w:tcW w:type="dxa" w:w="2016"/>
          </w:tcPr>
          <w:p>
            <w:pPr>
              <w:spacing w:after="0"/>
              <w:jc w:val="left"/>
            </w:pPr>
            <w:r/>
            <w:r>
              <w:rPr>
                <w:b/>
                <w:sz w:val="19"/>
              </w:rPr>
              <w:t>Intron / Sahara</w:t>
            </w:r>
          </w:p>
        </w:tc>
        <w:tc>
          <w:tcPr>
            <w:tcW w:type="dxa" w:w="1368"/>
          </w:tcPr>
          <w:p>
            <w:pPr>
              <w:spacing w:after="0"/>
              <w:jc w:val="center"/>
            </w:pPr>
            <w:r/>
            <w:r>
              <w:rPr>
                <w:sz w:val="19"/>
              </w:rPr>
              <w:t>Pidgin 0.31</w:t>
            </w:r>
          </w:p>
        </w:tc>
        <w:tc>
          <w:tcPr>
            <w:tcW w:type="dxa" w:w="1224"/>
          </w:tcPr>
          <w:p>
            <w:pPr>
              <w:spacing w:after="0"/>
              <w:jc w:val="center"/>
            </w:pPr>
            <w:r/>
            <w:r>
              <w:rPr>
                <w:sz w:val="19"/>
              </w:rPr>
              <w:t>Yoruba 0.86</w:t>
            </w:r>
          </w:p>
        </w:tc>
        <w:tc>
          <w:tcPr>
            <w:tcW w:type="dxa" w:w="1944"/>
          </w:tcPr>
          <w:p>
            <w:pPr>
              <w:spacing w:after="0"/>
              <w:jc w:val="center"/>
            </w:pPr>
            <w:r/>
            <w:r>
              <w:rPr>
                <w:sz w:val="19"/>
              </w:rPr>
              <w:t>Igbo 0.55, Hausa 0.40</w:t>
            </w:r>
          </w:p>
        </w:tc>
        <w:tc>
          <w:tcPr>
            <w:tcW w:type="dxa" w:w="3168"/>
          </w:tcPr>
          <w:p>
            <w:pPr>
              <w:spacing w:after="0"/>
              <w:jc w:val="center"/>
            </w:pPr>
            <w:r/>
            <w:r>
              <w:rPr>
                <w:sz w:val="19"/>
              </w:rPr>
              <w:t>Only model that keeps the English inside a non-English sentence.</w:t>
            </w:r>
          </w:p>
        </w:tc>
      </w:tr>
      <w:tr>
        <w:tc>
          <w:tcPr>
            <w:tcW w:type="dxa" w:w="2016"/>
          </w:tcPr>
          <w:p>
            <w:pPr>
              <w:spacing w:after="0"/>
              <w:jc w:val="left"/>
            </w:pPr>
            <w:r/>
            <w:r>
              <w:rPr>
                <w:b/>
                <w:sz w:val="19"/>
              </w:rPr>
              <w:t>ElevenLabs Scribe</w:t>
            </w:r>
          </w:p>
        </w:tc>
        <w:tc>
          <w:tcPr>
            <w:tcW w:type="dxa" w:w="1368"/>
          </w:tcPr>
          <w:p>
            <w:pPr>
              <w:spacing w:after="0"/>
              <w:jc w:val="center"/>
            </w:pPr>
            <w:r/>
            <w:r>
              <w:rPr>
                <w:sz w:val="19"/>
              </w:rPr>
              <w:t>Pidgin 0.28</w:t>
            </w:r>
          </w:p>
        </w:tc>
        <w:tc>
          <w:tcPr>
            <w:tcW w:type="dxa" w:w="1224"/>
          </w:tcPr>
          <w:p>
            <w:pPr>
              <w:spacing w:after="0"/>
              <w:jc w:val="center"/>
            </w:pPr>
            <w:r/>
            <w:r>
              <w:rPr>
                <w:sz w:val="19"/>
              </w:rPr>
              <w:t>Yoruba 0.90</w:t>
            </w:r>
          </w:p>
        </w:tc>
        <w:tc>
          <w:tcPr>
            <w:tcW w:type="dxa" w:w="1944"/>
          </w:tcPr>
          <w:p>
            <w:pPr>
              <w:spacing w:after="0"/>
              <w:jc w:val="center"/>
            </w:pPr>
            <w:r/>
            <w:r>
              <w:rPr>
                <w:sz w:val="19"/>
              </w:rPr>
              <w:t>Hausa 0.33, Igbo 0.46</w:t>
            </w:r>
          </w:p>
        </w:tc>
        <w:tc>
          <w:tcPr>
            <w:tcW w:type="dxa" w:w="3168"/>
          </w:tcPr>
          <w:p>
            <w:pPr>
              <w:spacing w:after="0"/>
              <w:jc w:val="center"/>
            </w:pPr>
            <w:r/>
            <w:r>
              <w:rPr>
                <w:sz w:val="19"/>
              </w:rPr>
              <w:t>Yoruba WER 0.90 on CER 0.38: heard the sounds, spelt them wrongly.</w:t>
            </w:r>
          </w:p>
        </w:tc>
      </w:tr>
      <w:tr>
        <w:tc>
          <w:tcPr>
            <w:tcW w:type="dxa" w:w="2016"/>
          </w:tcPr>
          <w:p>
            <w:pPr>
              <w:spacing w:after="0"/>
              <w:jc w:val="left"/>
            </w:pPr>
            <w:r/>
            <w:r>
              <w:rPr>
                <w:b/>
                <w:sz w:val="19"/>
              </w:rPr>
              <w:t>Fine-tuned STT (ours)</w:t>
            </w:r>
          </w:p>
        </w:tc>
        <w:tc>
          <w:tcPr>
            <w:tcW w:type="dxa" w:w="1368"/>
          </w:tcPr>
          <w:p>
            <w:pPr>
              <w:spacing w:after="0"/>
              <w:jc w:val="center"/>
            </w:pPr>
            <w:r/>
            <w:r>
              <w:rPr>
                <w:sz w:val="19"/>
              </w:rPr>
              <w:t>Hausa 0.82</w:t>
            </w:r>
          </w:p>
        </w:tc>
        <w:tc>
          <w:tcPr>
            <w:tcW w:type="dxa" w:w="1224"/>
          </w:tcPr>
          <w:p>
            <w:pPr>
              <w:spacing w:after="0"/>
              <w:jc w:val="center"/>
            </w:pPr>
            <w:r/>
            <w:r>
              <w:rPr>
                <w:sz w:val="19"/>
              </w:rPr>
              <w:t>Pidgin 1.14</w:t>
            </w:r>
          </w:p>
        </w:tc>
        <w:tc>
          <w:tcPr>
            <w:tcW w:type="dxa" w:w="1944"/>
          </w:tcPr>
          <w:p>
            <w:pPr>
              <w:spacing w:after="0"/>
              <w:jc w:val="center"/>
            </w:pPr>
            <w:r/>
            <w:r>
              <w:rPr>
                <w:sz w:val="19"/>
              </w:rPr>
              <w:t>Yoruba 0.98, Igbo 0.97</w:t>
            </w:r>
          </w:p>
        </w:tc>
        <w:tc>
          <w:tcPr>
            <w:tcW w:type="dxa" w:w="3168"/>
          </w:tcPr>
          <w:p>
            <w:pPr>
              <w:spacing w:after="0"/>
              <w:jc w:val="center"/>
            </w:pPr>
            <w:r/>
            <w:r>
              <w:rPr>
                <w:sz w:val="19"/>
              </w:rPr>
              <w:t>Fluent Yoruba, drops the English, so Pidgin scores worst.</w:t>
            </w:r>
          </w:p>
        </w:tc>
      </w:tr>
      <w:tr>
        <w:tc>
          <w:tcPr>
            <w:tcW w:type="dxa" w:w="2016"/>
          </w:tcPr>
          <w:p>
            <w:pPr>
              <w:spacing w:after="0"/>
              <w:jc w:val="left"/>
            </w:pPr>
            <w:r/>
            <w:r>
              <w:rPr>
                <w:b/>
                <w:sz w:val="19"/>
              </w:rPr>
              <w:t>Deepgram nova-2</w:t>
            </w:r>
          </w:p>
        </w:tc>
        <w:tc>
          <w:tcPr>
            <w:tcW w:type="dxa" w:w="1368"/>
          </w:tcPr>
          <w:p>
            <w:pPr>
              <w:spacing w:after="0"/>
              <w:jc w:val="center"/>
            </w:pPr>
            <w:r/>
            <w:r>
              <w:rPr>
                <w:sz w:val="19"/>
              </w:rPr>
              <w:t>Igbo/Pidgin 0.66</w:t>
            </w:r>
          </w:p>
        </w:tc>
        <w:tc>
          <w:tcPr>
            <w:tcW w:type="dxa" w:w="1224"/>
          </w:tcPr>
          <w:p>
            <w:pPr>
              <w:spacing w:after="0"/>
              <w:jc w:val="center"/>
            </w:pPr>
            <w:r/>
            <w:r>
              <w:rPr>
                <w:sz w:val="19"/>
              </w:rPr>
              <w:t>Yoruba 0.96</w:t>
            </w:r>
          </w:p>
        </w:tc>
        <w:tc>
          <w:tcPr>
            <w:tcW w:type="dxa" w:w="1944"/>
          </w:tcPr>
          <w:p>
            <w:pPr>
              <w:spacing w:after="0"/>
              <w:jc w:val="center"/>
            </w:pPr>
            <w:r/>
            <w:r>
              <w:rPr>
                <w:sz w:val="19"/>
              </w:rPr>
              <w:t>Hausa 0.89</w:t>
            </w:r>
          </w:p>
        </w:tc>
        <w:tc>
          <w:tcPr>
            <w:tcW w:type="dxa" w:w="3168"/>
          </w:tcPr>
          <w:p>
            <w:pPr>
              <w:spacing w:after="0"/>
              <w:jc w:val="center"/>
            </w:pPr>
            <w:r/>
            <w:r>
              <w:rPr>
                <w:sz w:val="19"/>
              </w:rPr>
              <w:t>WER and CER fail together: not recognised at all, not mis-spelt.</w:t>
            </w:r>
          </w:p>
        </w:tc>
      </w:tr>
    </w:tbl>
    <w:p>
      <w:r>
        <w:rPr>
          <w:i w:val="0"/>
          <w:sz w:val="22"/>
        </w:rPr>
        <w:t>Sahara's pair code matters: yo is the Yoruba-English model, en is monolingual and discards the Yoruba silently. Our fine-tuned STT also hallucinated fluent sentences from silence during live testing.</w:t>
      </w:r>
    </w:p>
    <w:p>
      <w:r>
        <w:rPr>
          <w:i w:val="0"/>
          <w:sz w:val="22"/>
        </w:rPr>
        <w:t>TTS: ElevenLabs most intelligible (0.32), best Pidgin (0.09), worst Yoruba (0.53). Our fine-tuned TTS second (0.49), best Hausa (0.27) but highest hallucination (0.44). Sahara last on WER (0.61) and the only one to lose a segment (0.12), but it hallucinates least (0.23) — it drops content rather than inventing it, the safer failure on a bank call — and had the best Igbo (0.33). Yoruba was hardest and Pidgin easiest in both directions, for every model.</w:t>
      </w:r>
    </w:p>
    <w:p>
      <w:pPr>
        <w:spacing w:before="180" w:after="40"/>
      </w:pPr>
      <w:r>
        <w:rPr>
          <w:b/>
          <w:color w:val="1A1A1A"/>
          <w:sz w:val="26"/>
        </w:rPr>
        <w:t>7. What we shipped, and why</w:t>
      </w:r>
    </w:p>
    <w:p>
      <w:r>
        <w:rPr>
          <w:i w:val="0"/>
          <w:sz w:val="22"/>
        </w:rPr>
        <w:t>Sahara runs the live agents in both directions. It is not the top scorer on WER, but it is the only model that keeps both halves of a code-switched sentence, and an agent that loses the English half of “Mo ra data yen, but it never entered” cannot pick the right tool. Accuracy that discards the language the caller used is not accuracy for this product.</w:t>
      </w:r>
    </w:p>
    <w:p>
      <w:r>
        <w:rPr>
          <w:i w:val="0"/>
          <w:sz w:val="22"/>
        </w:rPr>
        <w:t>Most of the latency was ours, not the model's. Buffering each utterance before committing left callers waiting 8.7 s; opening the socket at start-of-speech and warming sessions during silence brought that to 4.1-5.9 s. On TTS the streaming endpoint allocates a session per call and the account runs out after about four, so calls went silent partway through — the non-streaming generate endpoint has none, and synthesising one sentence ahead of playback keeps the audio gapless.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