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00" w:before="0"/>
      </w:pPr>
      <w:r>
        <w:rPr>
          <w:b/>
          <w:bCs/>
          <w:sz w:val="40"/>
          <w:szCs w:val="40"/>
          <w:color w:val="1a73e8"/>
          <w:rFonts w:eastAsia="微软雅黑" w:ascii="微软雅黑" w:hAnsi="微软雅黑"/>
        </w:rPr>
        <w:t xml:space="preserve">Mini Agent — RAG 可信度评估框架</w:t>
      </w:r>
    </w:p>
    <w:p>
      <w:pPr>
        <w:jc w:val="center"/>
        <w:spacing w:after="400" w:before="0"/>
      </w:pPr>
      <w:r>
        <w:rPr>
          <w:sz w:val="24"/>
          <w:szCs w:val="24"/>
          <w:color w:val="666666"/>
          <w:rFonts w:eastAsia="微软雅黑" w:ascii="微软雅黑" w:hAnsi="微软雅黑"/>
        </w:rPr>
        <w:t xml:space="preserve">基于无监督不确定性量化的 Agent 行为可信度评估方案</w:t>
      </w:r>
    </w:p>
    <w:p>
      <w:pPr>
        <w:spacing w:after="120" w:before="0"/>
      </w:pPr>
      <w:r>
        <w:rPr>
          <w:b/>
          <w:bCs/>
          <w:sz w:val="32"/>
          <w:szCs w:val="32"/>
          <w:color w:val="1a73e8"/>
          <w:rFonts w:eastAsia="微软雅黑" w:ascii="微软雅黑" w:hAnsi="微软雅黑"/>
        </w:rPr>
        <w:t xml:space="preserve">一、背景与核心思路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在概率论与数理统计中，当无法获取"地面真值"（Ground Truth）时，评估概率模型生成的可靠性通常被称为无监督不确定性量化（Unsupervised Uncertainty Quantification）。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虽然没有真值进行比对，但我们可以通过内部一致性、信息熵、稳定性以及模型复杂度等维度来建立逻辑上的可信度评估体系。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核心转换：从"模型说了什么"（不可信）转向"模型的行为统计特征是否稳定"（可验证）。不用相信模型的自述，而是用外部可观测的行为数据建立可信度评估。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核心思路：在没有真值的情况下，评估的不再是"准确性"（Accuracy），而是"鲁棒性"（Robustness）和"自洽性"（Self-consistency）。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32"/>
          <w:szCs w:val="32"/>
          <w:color w:val="1a73e8"/>
          <w:rFonts w:eastAsia="微软雅黑" w:ascii="微软雅黑" w:hAnsi="微软雅黑"/>
        </w:rPr>
        <w:t xml:space="preserve">二、整体架构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五个评估维度基于同一份底层数据源——Hook 采集的行为日志，从不同角度分析。</w:t>
      </w:r>
    </w:p>
    <w:p>
      <w:pPr>
        <w:spacing w:after="60" w:before="0"/>
      </w:pPr>
      <w:r>
        <w:t xml:space="preserve"/>
      </w:r>
    </w:p>
    <w:tbl>
      <w:tblPr>
        <w:tblW w:type="auto" w:w="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1a73e8"/>
      </w:tblPr>
      <w:tr>
        <w:trPr>
          <w:tblHeader/>
        </w:trPr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color w:val="FFFFFF"/>
                <w:rFonts w:eastAsia="微软雅黑" w:ascii="微软雅黑" w:hAnsi="微软雅黑"/>
              </w:rPr>
              <w:t xml:space="preserve">维度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color w:val="FFFFFF"/>
                <w:rFonts w:eastAsia="微软雅黑" w:ascii="微软雅黑" w:hAnsi="微软雅黑"/>
              </w:rPr>
              <w:t xml:space="preserve">分析类型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color w:val="FFFFFF"/>
                <w:rFonts w:eastAsia="微软雅黑" w:ascii="微软雅黑" w:hAnsi="微软雅黑"/>
              </w:rPr>
              <w:t xml:space="preserve">核心问题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color w:val="FFFFFF"/>
                <w:rFonts w:eastAsia="微软雅黑" w:ascii="微软雅黑" w:hAnsi="微软雅黑"/>
              </w:rPr>
              <w:t xml:space="preserve">数据需求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维度1：信息熵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静态分析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决策确定性如何？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单次对话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维度2：一致性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动态分析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同一输入行为是否收敛？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多次运行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维度3：拟合优度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静态分析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证据和回答是否匹配？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单次对话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维度4：校准分析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静态+动态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置信度是否可靠？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行为日志+外部验证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维度5：对抗性检验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动态分析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输入扰动行为是否稳定？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扰动对+多次运行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维度 1、3、4 是静态分析——单次对话就能计算。维度 2、5 是动态分析——需要多次运行对比。五个维度交叉验证，任何一个维度异常都值得深入分析。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32"/>
          <w:szCs w:val="32"/>
          <w:color w:val="1a73e8"/>
          <w:rFonts w:eastAsia="微软雅黑" w:ascii="微软雅黑" w:hAnsi="微软雅黑"/>
        </w:rPr>
        <w:t xml:space="preserve">三、维度一：信息熵——决策确定性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3.1 理论依据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Shannon 熵 H = -Σ pᵢ log(pᵢ) 度量的是一个概率分布的"混乱程度"。当所有选项概率相等时熵最大，当集中在单一选项时熵最小。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类比到 Agent 行为：对于同一类问题，Agent 的工具选择序列构成一个离散分布。如果 Agent 的决策逻辑是清晰的，这个分布应该集中在少数几个模式上，熵低；如果分布均匀，说明 Agent 在"随机猜"。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3.2 具体步骤</w:t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1：定义行为空间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事件类型：no_tool（直接回答）、get_current_time、search_knowledge_base、multi_tool（连续调用多个）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调用顺序也记录：[search, time] 和 [time, search] 是不同模式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2：按问题类型分组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事实型："EU ETS 是什么" → 预期应触发搜索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时间型："现在几点" → 预期应触发 get_current_time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推理型："这两个概念有什么区别" → 可能直接回答也可能搜索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闲聊型："你好" → 预期 no_tool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分类方式可以用关键词规则，不需要很精确，粗分即可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3：在每个分组内统计行为分布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对每组，统计工具选择模式的频次分布，计算熵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4：设定阈值和解读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熵 &lt; 0.5：决策高度确定，行为模式集中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熵 0.5 - 1.5：有一定波动，正常范围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熵 &gt; 1.5：决策混乱，需要关注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3.3 需要的数据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Hook 采集的：每次调用的 tool name、调用顺序、用户输入的原始文本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不需要模型的任何自述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3.4 局限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分组粒度影响结果：分得太粗会把不同行为模式混在一起拉高熵，分得太细每组样本少结果不稳定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低熵不一定等于"正确"——Agent 可能每次都做错同一个选择，但熵依然很低。这需要和其他维度交叉验证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32"/>
          <w:szCs w:val="32"/>
          <w:color w:val="1a73e8"/>
          <w:rFonts w:eastAsia="微软雅黑" w:ascii="微软雅黑" w:hAnsi="微软雅黑"/>
        </w:rPr>
        <w:t xml:space="preserve">四、维度二：一致性与稳定性——同一输入是否收敛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4.1 理论依据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来自 Bootstrap 思想：对同一分布重复采样，如果估计量的方差小，说明估计是稳定的。类比到 Agent：对语义相同的输入重复查询，如果行为输出方差小，说明 Agent 的行为是结构化的而非随机的。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4.2 具体步骤</w:t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1：构造语义等价的问题集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手动或半自动地写 20-30 组"同义问题对"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每组 2-5 个变体，覆盖不同措辞、不同语言（中英文）、不同详细程度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示例："EU ETS 是什么" / "介绍一下欧洲碳排放交易体系" / "解释一下 EU ETS"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2：定义一致性度量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工具选择一致率：同一组内，选相同工具组合的比例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检索重叠率：如果都触发了搜索，返回的文档片段集合的 Jaccard 相似度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回答语义相似度：用 embedding 算余弦相似度，或检查关键事实点是否一致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3：计算组内方差和组间方差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组内方差小、组间方差大 → 好的信号：同一问题行为稳定，不同问题行为有区分度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组内方差大 → 行为不稳定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组间方差小 → 对所有问题都一样的行为模式，Agent 在"偷懒"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4：识别不稳定的题组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找出组内方差最大的题组，人工分析原因：是问题本身有歧义？是检索结果不稳定？是 LLM 的随机性？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4.3 需要的数据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预先准备的问题集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每次调用的 tool name、检索返回的文档 ID 列表、回答文本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多次运行的行为记录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4.4 局限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构造问题集需要人工，有主观性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运行多次有成本（API 调用费）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temperature=0 不等于完全确定性，不同厂商实现不同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32"/>
          <w:szCs w:val="32"/>
          <w:color w:val="1a73e8"/>
          <w:rFonts w:eastAsia="微软雅黑" w:ascii="微软雅黑" w:hAnsi="微软雅黑"/>
        </w:rPr>
        <w:t xml:space="preserve">五、维度三：拟合优度——证据与回答的匹配度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5.1 理论依据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AIC 的核心思想：模型复杂度应该和数据解释力匹配，复杂度高但解释力没提升就是过拟合。类比到 Agent：回答的信息量应该和检索到的证据量匹配。没搜到相关文档但回答得很详细很确定，就是"过拟合"——在编造。</w:t>
      </w:r>
    </w:p>
    <w:p>
      <w:pPr>
        <w:spacing w:after="120" w:before="0"/>
      </w:pPr>
      <w:r>
        <w:rPr>
          <w:b/>
          <w:bCs/>
          <w:sz w:val="21"/>
          <w:szCs w:val="21"/>
          <w:color w:val="d32f2f"/>
          <w:rFonts w:eastAsia="Consolas" w:ascii="Consolas" w:hAnsi="Consolas"/>
        </w:rPr>
        <w:t xml:space="preserve">AIC = 2k - 2ln(L)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其中 k 是参数个数，L 是似然函数值。通过权衡模型的复杂度和对数据的解释能力，判定模型是否过拟合。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5.2 具体步骤</w:t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1：定义"证据量"指标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检索结果数量（top_k 返回了几个）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最高相关度得分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检索结果的文本总长度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组合成一个综合证据量分数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2：定义"回答信息量"指标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回答的 token 数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包含的具体事实点数量（用正则匹配数字、专有名词、引用）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确定性措辞的频率（"一定"、"肯定"、"根据文档" vs "可能"、"大概"、"我不确定"）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3：建立配对关系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把每次对话的（证据量，回答信息量）配对，画散点图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期望模式：证据量高 → 回答信息量高；证据量低 → 回答信息量低，且应伴随更多不确定措辞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异常模式：证据量低但回答信息量高且措辞确定 → 过拟合信号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4：计算匹配度得分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用 Spearman 相关系数，或统计异常对话占比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5.3 需要的数据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每次搜索调用的返回结果（score、文本长度、数量）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最终回答的文本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确定性措辞的词表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5.4 局限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"事实点数量"的自动提取不精确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专有名词和数字出现在回答里不一定代表编造，也可能是模型自身知识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需要区分"基于检索回答"和"基于自身知识回答"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32"/>
          <w:szCs w:val="32"/>
          <w:color w:val="1a73e8"/>
          <w:rFonts w:eastAsia="微软雅黑" w:ascii="微软雅黑" w:hAnsi="微软雅黑"/>
        </w:rPr>
        <w:t xml:space="preserve">六、维度四：校准分析——行为代理指标与实际质量的对齐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6.1 理论依据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校准的核心：预测的置信度应该和实际频率一致。问题是 LLM 不输出概率分布，所以需要找代理指标。代理指标的逻辑：Agent 的某些行为模式间接反映了它的"确信程度"。比如，主动调用搜索 ="我不确定，需要查"；直接长篇回答 ="我很确定"。</w:t>
      </w:r>
    </w:p>
    <w:p>
      <w:pPr>
        <w:spacing w:after="120" w:before="0"/>
      </w:pPr>
      <w:r>
        <w:rPr>
          <w:b/>
          <w:bCs/>
          <w:sz w:val="21"/>
          <w:szCs w:val="21"/>
          <w:color w:val="d32f2f"/>
          <w:rFonts w:eastAsia="Consolas" w:ascii="Consolas" w:hAnsi="Consolas"/>
        </w:rPr>
        <w:t xml:space="preserve">ECE = Σ (|Bₘ|/n) × |acc(Bₘ) - conf(Bₘ)|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每个桶的准确率和置信度的加权偏差。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6.2 具体步骤</w:t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1：定义代理置信度</w:t>
      </w:r>
    </w:p>
    <w:tbl>
      <w:tblPr>
        <w:tblW w:type="auto" w:w="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1a73e8"/>
      </w:tblPr>
      <w:tr>
        <w:trPr>
          <w:tblHeader/>
        </w:trPr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color w:val="FFFFFF"/>
                <w:rFonts w:eastAsia="微软雅黑" w:ascii="微软雅黑" w:hAnsi="微软雅黑"/>
              </w:rPr>
              <w:t xml:space="preserve">行为模式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color w:val="FFFFFF"/>
                <w:rFonts w:eastAsia="微软雅黑" w:ascii="微软雅黑" w:hAnsi="微软雅黑"/>
              </w:rPr>
              <w:t xml:space="preserve">代理置信度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直接回答，没有调用工具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高（默认自己知道）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调用了搜索，但回答简短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中（查了但没查到太多）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调用了搜索，回答引用了文档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中高（有依据）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回答中包含"不确定"、"可能"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低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多次调用工具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低（在反复确认）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2：定义"实际正确率"的测量方式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人工抽检：随机抽 50-100 条，人工判定对错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强模型验证：用更强的模型做 judge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规则验证：对有明确答案的事实型问题，自动比对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3：画校准曲线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按代理置信度分桶，每个桶内计算实际正确率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如果高置信桶的正确率反而低 → 严重校准问题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4：计算 ECE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每个桶的准确率和置信度的加权偏差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6.3 需要的数据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行为日志（是否调用工具、调用次数、回答文本）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外部验证结果（人工或强模型标注的对错标签）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6.4 局限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代理置信度的定义有主观性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外部验证的成本最高（要么花人工，要么花 API 费）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样本量要求：桶内样本太少会导致 ECE 不稳定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32"/>
          <w:szCs w:val="32"/>
          <w:color w:val="1a73e8"/>
          <w:rFonts w:eastAsia="微软雅黑" w:ascii="微软雅黑" w:hAnsi="微软雅黑"/>
        </w:rPr>
        <w:t xml:space="preserve">七、维度五：对抗性检验——鲁棒性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7.1 理论依据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来自对抗样本和灵敏度分析：一个稳健的模型，对输入的微小扰动不应该产生剧烈的输出变化。如果改一个词就导致行为突变，说明模型在决策边界附近，输出不可靠。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7.2 具体步骤</w:t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1：构造扰动对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同义替换："什么是 EU ETS" → "EU ETS 是啥" → "EU ETS 的定义是什么"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语言切换：英文问题 → 中文翻译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粒度变化："总结文档" → "文档讲了什么" → "给我三句话概括文档要点"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信息增减："碳交易" → "碳交易的价格趋势" → "碳交易的最新价格趋势和影响因素"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2：定义行为距离度量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工具选择距离：相同=0，不同=1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检索结果距离：1 - Jaccard 相似度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回答语义距离：1 - embedding 余弦相似度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综合距离：加权组合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3：计算扰动敏感度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对每组扰动对，计算行为距离和输入扰动幅度的比值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比值小 → 鲁棒性好，小扰动导致小变化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比值大 → 敏感，处于决策边界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Step 4：识别敏感区域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找出敏感度最高的问题类型，这些就是 Agent 的"认知边缘"——它在这个区域的行为最不可信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7.3 需要的数据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基准问题集 + 扰动变体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每次调用的完整行为记录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回答的 embedding 向量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b/>
          <w:bCs/>
          <w:sz w:val="26"/>
          <w:szCs w:val="26"/>
          <w:color w:val="2e7d32"/>
          <w:rFonts w:eastAsia="微软雅黑" w:ascii="微软雅黑" w:hAnsi="微软雅黑"/>
        </w:rPr>
        <w:t xml:space="preserve">7.4 局限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扰动生成的质量影响评估有效性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某些扰动是合理的，不能简单认为行为变化就是不稳定</w:t>
      </w:r>
    </w:p>
    <w:p>
      <w:pPr>
        <w:spacing w:after="40" w:before="0"/>
      </w:pPr>
      <w:r>
        <w:rPr>
          <w:sz w:val="21"/>
          <w:szCs w:val="21"/>
          <w:rFonts w:eastAsia="微软雅黑" w:ascii="微软雅黑" w:hAnsi="微软雅黑"/>
        </w:rPr>
        <w:t xml:space="preserve">需要区分"合理变化"和"不合理突变"，这个判断本身有主观性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32"/>
          <w:szCs w:val="32"/>
          <w:color w:val="1a73e8"/>
          <w:rFonts w:eastAsia="微软雅黑" w:ascii="微软雅黑" w:hAnsi="微软雅黑"/>
        </w:rPr>
        <w:t xml:space="preserve">八、实施优先级建议</w:t>
      </w:r>
    </w:p>
    <w:p>
      <w:pPr>
        <w:spacing w:after="60" w:before="0"/>
      </w:pPr>
      <w:r>
        <w:t xml:space="preserve"/>
      </w:r>
    </w:p>
    <w:tbl>
      <w:tblPr>
        <w:tblW w:type="auto" w:w="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1a73e8"/>
      </w:tblPr>
      <w:tr>
        <w:trPr>
          <w:tblHeader/>
        </w:trPr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color w:val="FFFFFF"/>
                <w:rFonts w:eastAsia="微软雅黑" w:ascii="微软雅黑" w:hAnsi="微软雅黑"/>
              </w:rPr>
              <w:t xml:space="preserve">优先级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color w:val="FFFFFF"/>
                <w:rFonts w:eastAsia="微软雅黑" w:ascii="微软雅黑" w:hAnsi="微软雅黑"/>
              </w:rPr>
              <w:t xml:space="preserve">维度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color w:val="FFFFFF"/>
                <w:rFonts w:eastAsia="微软雅黑" w:ascii="微软雅黑" w:hAnsi="微软雅黑"/>
              </w:rPr>
              <w:t xml:space="preserve">理由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P0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Hook 行为日志采集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所有分析的基础，没有数据什么都做不了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P1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维度1：信息熵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单次对话即可计算，成本最低，快速获得初步洞察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P1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维度3：拟合优度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同上，单次数据可算，且能发现"编造"问题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P2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维度2：一致性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需要多次运行，成本中等，但对稳定性评估价值高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P2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维度5：对抗性检验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需要构造扰动集，但可复用维度2的数据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P3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维度4：校准分析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  <w:rFonts w:eastAsia="微软雅黑" w:ascii="微软雅黑" w:hAnsi="微软雅黑"/>
              </w:rPr>
              <w:t xml:space="preserve">依赖外部验证，成本最高，但对长期迭代最有价值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32"/>
          <w:szCs w:val="32"/>
          <w:color w:val="1a73e8"/>
          <w:rFonts w:eastAsia="微软雅黑" w:ascii="微软雅黑" w:hAnsi="微软雅黑"/>
        </w:rPr>
        <w:t xml:space="preserve">九、关键结论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1. 可信度评估的核心转换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从"相信模型的自述"转向"用行为统计特征判断可信度"。底层数据来源都是 Hook，但分析框架完全不同。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2. 模型自述的不可信性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模型无法实现真正的自监控。它的"决策解释"是生成出来的叙述，不等于真实的内部状态。只能依赖行为序列反推，不能依赖模型自述。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3. 交叉验证的必要性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单个维度的异常不足以判定问题。如果某个问题在五个维度上都表现良好，就可以说 Agent 在这个问题上的行为是可信的。反之，任何一个维度异常都值得深入分析。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1"/>
          <w:szCs w:val="21"/>
          <w:rFonts w:eastAsia="微软雅黑" w:ascii="微软雅黑" w:hAnsi="微软雅黑"/>
        </w:rPr>
        <w:t xml:space="preserve">4. 评估本身的元问题</w:t>
      </w:r>
    </w:p>
    <w:p>
      <w:pPr>
        <w:spacing w:after="120" w:before="0"/>
      </w:pPr>
      <w:r>
        <w:rPr>
          <w:sz w:val="21"/>
          <w:szCs w:val="21"/>
          <w:rFonts w:eastAsia="微软雅黑" w:ascii="微软雅黑" w:hAnsi="微软雅黑"/>
        </w:rPr>
        <w:t xml:space="preserve">采样的行为数据是否能代表模型的真实能力分布？测试集的选择会影响所有评估结果。这不是方法论的问题，是评估本身的元问题。</w:t>
      </w:r>
    </w:p>
    <w:p>
      <w:pPr>
        <w:spacing w:after="60" w:before="0"/>
      </w:pPr>
      <w:r>
        <w:t xml:space="preserve"/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