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Vue d'ensemble (24 widgets), produite par scripts/generate_accueil.py, versionnée et relue en revue.</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152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164,4 M€ additionnait 66,1 M€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toute opportunité dont la probabilité de gain atteint 80 %. UN SEUL critère : le statut n'entre pas en compte. Le portefeuille compte ainsi 105 opportunités et 51,3 M€ sur l'ensemble de l'historique. Les offres perdues en sortent d'elles-mêmes sans qu'aucun filtre soit nécessaire — leur pondération est vide dans le Sheet, et une comparaison avec une valeur absente est toujours fausse.</w:t>
      </w:r>
    </w:p>
    <w:p>
      <w:pPr>
        <w:spacing w:before="40"/>
      </w:pPr>
      <w:r>
        <w:rPr>
          <w:i/>
          <w:color w:val="52514E"/>
          <w:sz w:val="19"/>
        </w:rPr>
        <w:t>Ce périmètre a d'abord été restreint aux offres encore en jeu (14 affaires), puis élargi sur décision métier. La question qui l'a déclenché — « pourquoi des offres à 100 % n'apparaissent-elles pas ? » — a d'ailleurs mis au jour une convention de saisie : la pondération est une PRÉVISION tant que l'offre est ouverte (40 % ou 80 %), un CONSTAT à 100 % une fois gagnée, et vide une fois perdue. Les 88 opportunités à 100 % sont exactement les 88 déjà gagnées ou signées, sans une exception.</w:t>
      </w:r>
    </w:p>
    <w:p>
      <w:r>
        <w:rPr>
          <w:b w:val="0"/>
          <w:i w:val="0"/>
        </w:rPr>
        <w:t>L'indicateur ne mesure donc plus un pipeline à pousser mais un portefeuille à forte confiance, mêlant l'acquis et l'à-venir. Les intitulés le disent : « Budget à forte confiance » plutôt que « Budget en jeu », qui laissait entendre une affaire encore ouverte.</w:t>
      </w:r>
    </w:p>
    <w:p>
      <w:r>
        <w:rPr>
          <w:b w:val="0"/>
          <w:i w:val="0"/>
        </w:rPr>
        <w:t>Le tableau des affaires chaudes tient dans la hauteur des autres widgets et défile à la molette pour la suite. La hauteur se règle sur la LIGNE de grille (`height: 360`), jamais sur le widget : le schéma la refuse à ce niveau. Le widget étant en `h-full` dans sa cellule, il cesse alors de s'étirer avec son contenu ; son conteneur porte `overflow-x-auto`, et CSS fait calculer `auto` pour l'axe vertical dès qu'un axe n'est plus `visible`, d'où le défilement.</w:t>
      </w:r>
    </w:p>
    <w:p>
      <w:pPr>
        <w:spacing w:before="40"/>
      </w:pPr>
      <w:r>
        <w:rPr>
          <w:i/>
          <w:color w:val="52514E"/>
          <w:sz w:val="19"/>
        </w:rPr>
        <w:t>Cette hauteur avait d'abord été déclarée impossible, et le tableau plafonné à dix lignes en conséquence. La sonde avait porté sur le mauvais niveau — le widget — et la conclusion avait été généralisée à l'outil entier. Sonder un seul niveau d'un schéma puis en déduire une fatalité est le vrai défaut ici ; aucune ligne n'est désormais retirée de la requête, un LIMIT rendant les affaires suivantes inatteignables, molette ou pas.</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Le seuil est un MINIMUM : 90 % ou 100 % entrent aussi dans les affaires chaudes. Encore fallait-il le prouver — sur les vraies données, aucune affaire encore en jeu ne dépasse 80 %, donc remplacer « &gt;= » par « = » n'aurait changé aucun chiffre et serait passé inaperçu. dac check prouve qu'une requête s'exécute, pas qu'elle sélectionne les bonnes lignes : un fichier de tests dédié exécute désormais le SQL de la vue d'ensemble sur des lignes fabriquées, et la protection a été vérifiée par mutation.</w:t>
      </w:r>
    </w:p>
    <w:p>
      <w:pPr>
        <w:spacing w:before="40"/>
      </w:pPr>
      <w:r>
        <w:rPr>
          <w:i/>
          <w:color w:val="52514E"/>
          <w:sz w:val="19"/>
        </w:rPr>
        <w:t>Découverte au passage : dans ce Sheet, 100 % n'est pas une prévision mais un CONSTAT. Les 88 opportunités à 1,0 sont exactement les 88 déjà gagnées ou signées — correspondance parfaite. Aucune affaire chaude n'apparaît donc à 100 %, non par un défaut du filtre, mais parce qu'une affaire dont la décision est tombée n'est plus en jeu.</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Compléter plutôt que remplacer</w:t>
      </w:r>
    </w:p>
    <w:p>
      <w:r>
        <w:rPr>
          <w:b w:val="0"/>
          <w:i w:val="0"/>
        </w:rPr>
        <w:t>« Ajoute le budget par pays » place un widget de plus sur le tableau de bord affiché au lieu de le recomposer. Le verbe ne change rien à l'analyse demandée — même métrique, même axe, mêmes filtres — seulement la façon dont le résultat rejoint l'écran : d'où un simple drapeau porté par l'intention, plutôt qu'un chemin de composition parallèle à maintenir.</w:t>
      </w:r>
    </w:p>
    <w:p>
      <w:pPr>
        <w:spacing w:before="40"/>
      </w:pPr>
      <w:r>
        <w:rPr>
          <w:i/>
          <w:color w:val="52514E"/>
          <w:sz w:val="19"/>
        </w:rPr>
        <w:t>Limite acceptée volontairement : l'ajout ne complète PAS la vue d'ensemble, seulement le tableau de bord de travail. Les widgets de la vue d'ensemble suivent les filtres de période et de practice de la page, qu'un widget ajouté ne connaît pas — déplacer le filtre mettrait 24 widgets à jour et pas le 25e. Un piège silencieux vaut moins qu'une limite énoncée.</w:t>
      </w:r>
    </w:p>
    <w:p>
      <w:r>
        <w:rPr>
          <w:b w:val="0"/>
          <w:i w:val="0"/>
        </w:rPr>
        <w:t>Un ajout déjà présent est signalé comme tel plutôt qu'annoncé à tort, et un plafond de 24 widgets empêche la page de devenir un mur où l'on ne trouve plus rien.</w:t>
      </w:r>
    </w:p>
    <w:p>
      <w:pPr>
        <w:keepNext/>
        <w:spacing w:before="280" w:after="120"/>
      </w:pPr>
      <w:r>
        <w:rPr>
          <w:b/>
          <w:color w:val="242422"/>
          <w:sz w:val="27"/>
        </w:rPr>
        <w:t>9.8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9.9 Un seul tableau de bord,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Un seul tableau de bord, et des transitions en fondu</w:t>
      </w:r>
    </w:p>
    <w:p>
      <w:r>
        <w:rPr>
          <w:b w:val="0"/>
          <w:i w:val="0"/>
        </w:rPr>
        <w:t>La bascule entre « Vue d'ensemble » et « Mon tableau de bord » a été retirée : il n'y a plus qu'un tableau de bord, qui s'ouvre sur la vue d'ensemble et que les questions transforment. Le rechargement de la page y revient — l'affichage et le contexte de la dernière question ne sont plus restaurés, car les conserver rouvrait une analyse que personne n'avait redemandée et laissait une suite comme « en camembert » ajuster un tableau de bord qu'on ne regardait plus. La conversation, elle, reste conservée.</w:t>
      </w:r>
    </w:p>
    <w:p>
      <w:pPr>
        <w:spacing w:before="40"/>
      </w:pPr>
      <w:r>
        <w:rPr>
          <w:i/>
          <w:color w:val="52514E"/>
          <w:sz w:val="19"/>
        </w:rPr>
        <w:t>Recharger l'iframe en place la vidait le temps du chargement : l'écran passait au blanc à chaque question. Deux cadres se superposent désormais — celui qu'on regarde, et le suivant qui charge par-dessus, invisible. Quand il est prêt il devient opaque, et l'ancien n'est retiré qu'ENSUITE, une fois le fondu terminé : retirer l'ancien au moment de la promotion aurait laissé apparaître le fond entre les deux.</w:t>
      </w:r>
    </w:p>
    <w:p>
      <w:r>
        <w:rPr>
          <w:b w:val="0"/>
          <w:i w:val="0"/>
        </w:rPr>
        <w:t>Le squelette animé ne sert donc plus qu'au tout premier affichage, quand il n'y a effectivement rien à montrer en attendant (démarrage à froid du moteur de requête). Les fois suivantes, le tableau de bord précédent tient ce rôle bien mieux, et un fil d'attente de deux pixels en tête signale le travail en cours. La préférence système « mouvement réduit » ramène le tout à un basculement instantané, sans jamais rouvrir de fenêtre de vide.</w:t>
      </w:r>
    </w:p>
    <w:p>
      <w:pPr>
        <w:keepNext/>
        <w:spacing w:before="280" w:after="120"/>
      </w:pPr>
      <w:r>
        <w:rPr>
          <w:b/>
          <w:color w:val="242422"/>
          <w:sz w:val="27"/>
        </w:rPr>
        <w:t>13.4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15. Tests automatisés</w:t>
      </w:r>
    </w:p>
    <w:p>
      <w:r>
        <w:rPr>
          <w:b w:val="0"/>
          <w:i w:val="0"/>
        </w:rPr>
        <w:t>221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62</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26</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40</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test_accueil_dashboard.py</w:t>
            </w:r>
          </w:p>
        </w:tc>
        <w:tc>
          <w:tcPr>
            <w:tcW w:type="dxa" w:w="3137"/>
          </w:tcPr>
          <w:p>
            <w:r/>
            <w:r>
              <w:rPr>
                <w:sz w:val="19"/>
              </w:rPr>
              <w:t>11</w:t>
            </w:r>
          </w:p>
        </w:tc>
        <w:tc>
          <w:tcPr>
            <w:tcW w:type="dxa" w:w="3137"/>
          </w:tcPr>
          <w:p>
            <w:r/>
            <w:r>
              <w:rPr>
                <w:sz w:val="19"/>
              </w:rPr>
              <w:t>SQL de la vue d'ensemble exécuté sur des lignes fabriquées : seuil des affaires chaudes inclusif, issues qui totalisent les offres remises, taux de réussite calculé sur les seules offres décidées.</w:t>
            </w:r>
          </w:p>
        </w:tc>
      </w:tr>
      <w:tr>
        <w:tc>
          <w:tcPr>
            <w:tcW w:type="dxa" w:w="3137"/>
            <w:shd w:fill="FAFAF8"/>
          </w:tcPr>
          <w:p>
            <w:r/>
            <w:r>
              <w:rPr>
                <w:sz w:val="19"/>
              </w:rPr>
              <w:t>test_alerts.py</w:t>
            </w:r>
          </w:p>
        </w:tc>
        <w:tc>
          <w:tcPr>
            <w:tcW w:type="dxa" w:w="3137"/>
            <w:shd w:fill="FAFAF8"/>
          </w:tcPr>
          <w:p>
            <w:r/>
            <w:r>
              <w:rPr>
                <w:sz w:val="19"/>
              </w:rPr>
              <w:t>12</w:t>
            </w:r>
          </w:p>
        </w:tc>
        <w:tc>
          <w:tcPr>
            <w:tcW w:type="dxa" w:w="3137"/>
            <w:shd w:fill="FAFAF8"/>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