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Règles métier et assistance (backend/business_rules.py, intent_refiner.py)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Gemini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réécrit _principal.yml (travail) + _analyse_&lt;hash&gt;.yml (instantané)</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11).</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360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c>
          <w:tcPr>
            <w:tcW w:type="dxa" w:w="4706"/>
          </w:tcPr>
          <w:p>
            <w:r/>
            <w:r>
              <w:rPr>
                <w:sz w:val="19"/>
              </w:rPr>
              <w:t>backend/llm.py</w:t>
            </w:r>
          </w:p>
        </w:tc>
        <w:tc>
          <w:tcPr>
            <w:tcW w:type="dxa" w:w="4706"/>
          </w:tcPr>
          <w:p>
            <w:r/>
            <w:r>
              <w:rPr>
                <w:sz w:val="19"/>
              </w:rPr>
              <w:t>Appel LLM, validation Pydantic, résolution des filtres, anti-hallucination.</w:t>
            </w:r>
          </w:p>
        </w:tc>
      </w:tr>
      <w:t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c>
          <w:tcPr>
            <w:tcW w:type="dxa" w:w="4706"/>
          </w:tcPr>
          <w:p>
            <w:r/>
            <w:r>
              <w:rPr>
                <w:sz w:val="19"/>
              </w:rPr>
              <w:t>backend/db_layer.py</w:t>
            </w:r>
          </w:p>
        </w:tc>
        <w:tc>
          <w:tcPr>
            <w:tcW w:type="dxa" w:w="4706"/>
          </w:tcPr>
          <w:p>
            <w:r/>
            <w:r>
              <w:rPr>
                <w:sz w:val="19"/>
              </w:rPr>
              <w:t>Requêtage pandas du DataFrame (données du message texte).</w:t>
            </w:r>
          </w:p>
        </w:tc>
      </w:tr>
      <w:t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c>
          <w:tcPr>
            <w:tcW w:type="dxa" w:w="4706"/>
          </w:tcPr>
          <w:p>
            <w:r/>
            <w:r>
              <w:rPr>
                <w:sz w:val="19"/>
              </w:rPr>
              <w:t>backend/sql_builder.py</w:t>
            </w:r>
          </w:p>
        </w:tc>
        <w:tc>
          <w:tcPr>
            <w:tcW w:type="dxa" w:w="4706"/>
          </w:tcPr>
          <w:p>
            <w:r/>
            <w:r>
              <w:rPr>
                <w:sz w:val="19"/>
              </w:rPr>
              <w:t>Intention validée -&gt; SQL DuckDB. Jamais écrit par le LLM.</w:t>
            </w:r>
          </w:p>
        </w:tc>
      </w:tr>
      <w:t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c>
          <w:tcPr>
            <w:tcW w:type="dxa" w:w="4706"/>
          </w:tcPr>
          <w:p>
            <w:r/>
            <w:r>
              <w:rPr>
                <w:sz w:val="19"/>
              </w:rPr>
              <w:t>backend/duckdb_export.py</w:t>
            </w:r>
          </w:p>
        </w:tc>
        <w:tc>
          <w:tcPr>
            <w:tcW w:type="dxa" w:w="4706"/>
          </w:tcPr>
          <w:p>
            <w:r/>
            <w:r>
              <w:rPr>
                <w:sz w:val="19"/>
              </w:rPr>
              <w:t>Projection du DataFrame vers le fichier DuckDB interrogé par DAC.</w:t>
            </w:r>
          </w:p>
        </w:tc>
      </w:tr>
      <w:t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c>
          <w:tcPr>
            <w:tcW w:type="dxa" w:w="4706"/>
          </w:tcPr>
          <w:p>
            <w:r/>
            <w:r>
              <w:rPr>
                <w:sz w:val="19"/>
              </w:rPr>
              <w:t>backend/alerts.py</w:t>
            </w:r>
          </w:p>
        </w:tc>
        <w:tc>
          <w:tcPr>
            <w:tcW w:type="dxa" w:w="4706"/>
          </w:tcPr>
          <w:p>
            <w:r/>
            <w:r>
              <w:rPr>
                <w:sz w:val="19"/>
              </w:rPr>
              <w:t>Opportunités à échéance proche, envoi de l'email d'alerte.</w:t>
            </w:r>
          </w:p>
        </w:tc>
      </w:tr>
      <w:t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c>
          <w:tcPr>
            <w:tcW w:type="dxa" w:w="4706"/>
          </w:tcPr>
          <w:p>
            <w:r/>
            <w:r>
              <w:rPr>
                <w:sz w:val="19"/>
              </w:rPr>
              <w:t>backend/data_quality.py</w:t>
            </w:r>
          </w:p>
        </w:tc>
        <w:tc>
          <w:tcPr>
            <w:tcW w:type="dxa" w:w="4706"/>
          </w:tcPr>
          <w:p>
            <w:r/>
            <w:r>
              <w:rPr>
                <w:sz w:val="19"/>
              </w:rPr>
              <w:t>Rapport des lignes rejetées et des valeurs manquantes.</w:t>
            </w:r>
          </w:p>
        </w:tc>
      </w:tr>
      <w:t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c>
          <w:tcPr>
            <w:tcW w:type="dxa" w:w="4706"/>
          </w:tcPr>
          <w:p>
            <w:r/>
            <w:r>
              <w:rPr>
                <w:sz w:val="19"/>
              </w:rPr>
              <w:t>dac/dashboards/accueil.yml</w:t>
            </w:r>
          </w:p>
        </w:tc>
        <w:tc>
          <w:tcPr>
            <w:tcW w:type="dxa" w:w="4706"/>
          </w:tcPr>
          <w:p>
            <w:r/>
            <w:r>
              <w:rPr>
                <w:sz w:val="19"/>
              </w:rPr>
              <w:t>Vue d'ensemble (24 widgets), produite par scripts/generate_accueil.py, versionnée et relue en revue.</w:t>
            </w:r>
          </w:p>
        </w:tc>
      </w:tr>
      <w:tr>
        <w:tc>
          <w:tcPr>
            <w:tcW w:type="dxa" w:w="4706"/>
            <w:shd w:fill="FAFAF8"/>
          </w:tcPr>
          <w:p>
            <w:r/>
            <w:r>
              <w:rPr>
                <w:sz w:val="19"/>
              </w:rPr>
              <w:t>dac/dashboards/_principal.yml</w:t>
            </w:r>
          </w:p>
        </w:tc>
        <w:tc>
          <w:tcPr>
            <w:tcW w:type="dxa" w:w="4706"/>
            <w:shd w:fill="FAFAF8"/>
          </w:tcPr>
          <w:p>
            <w:r/>
            <w:r>
              <w:rPr>
                <w:sz w:val="19"/>
              </w:rPr>
              <w:t>Tableau de bord de travail, réécrit par chaque question (éphémère, hors suivi git).</w:t>
            </w:r>
          </w:p>
        </w:tc>
      </w:tr>
      <w:tr>
        <w:tc>
          <w:tcPr>
            <w:tcW w:type="dxa" w:w="4706"/>
          </w:tcPr>
          <w:p>
            <w:r/>
            <w:r>
              <w:rPr>
                <w:sz w:val="19"/>
              </w:rPr>
              <w:t>dac/dashboards/_analyse_*.yml</w:t>
            </w:r>
          </w:p>
        </w:tc>
        <w:tc>
          <w:tcPr>
            <w:tcW w:type="dxa" w:w="4706"/>
          </w:tcPr>
          <w:p>
            <w:r/>
            <w:r>
              <w:rPr>
                <w:sz w:val="19"/>
              </w:rPr>
              <w:t>Instantané figé par question, pour les rouvrir (éphémère, hors suivi git).</w:t>
            </w:r>
          </w:p>
        </w:tc>
      </w:tr>
      <w:tr>
        <w:tc>
          <w:tcPr>
            <w:tcW w:type="dxa" w:w="4706"/>
            <w:shd w:fill="FAFAF8"/>
          </w:tcPr>
          <w:p>
            <w:r/>
            <w:r>
              <w:rPr>
                <w:sz w:val="19"/>
              </w:rPr>
              <w:t>frontend/src/</w:t>
            </w:r>
          </w:p>
        </w:tc>
        <w:tc>
          <w:tcPr>
            <w:tcW w:type="dxa" w:w="4706"/>
            <w:shd w:fill="FAFAF8"/>
          </w:tcPr>
          <w:p>
            <w:r/>
            <w:r>
              <w:rPr>
                <w:sz w:val="19"/>
              </w:rPr>
              <w:t>Application Vite + React (chat, iframe DAC, hooks, styles).</w:t>
            </w:r>
          </w:p>
        </w:tc>
      </w:tr>
      <w:tr>
        <w:tc>
          <w:tcPr>
            <w:tcW w:type="dxa" w:w="4706"/>
          </w:tcPr>
          <w:p>
            <w:r/>
            <w:r>
              <w:rPr>
                <w:sz w:val="19"/>
              </w:rPr>
              <w:t>tests/</w:t>
            </w:r>
          </w:p>
        </w:tc>
        <w:tc>
          <w:tcPr>
            <w:tcW w:type="dxa" w:w="4706"/>
          </w:tcPr>
          <w:p>
            <w:r/>
            <w:r>
              <w:rPr>
                <w:sz w:val="19"/>
              </w:rPr>
              <w:t>Suite pytest — 152 tests, aucune dépendance réseau ni données réelles.</w:t>
            </w:r>
          </w:p>
        </w:tc>
      </w:tr>
      <w:t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c>
          <w:tcPr>
            <w:tcW w:type="dxa" w:w="4706"/>
          </w:tcPr>
          <w:p>
            <w:r/>
            <w:r>
              <w:rPr>
                <w:sz w:val="19"/>
              </w:rPr>
              <w:t>Documentation/reports/</w:t>
            </w:r>
          </w:p>
        </w:tc>
        <w:tc>
          <w:tcPr>
            <w:tcW w:type="dxa" w:w="4706"/>
          </w:tcPr>
          <w:p>
            <w:r/>
            <w:r>
              <w:rPr>
                <w:sz w:val="19"/>
              </w:rPr>
              <w:t>Ce guide, le rapport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via l'API Google (gspread),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360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cellule illisible coûte la CELLULE, jamais la ligne : elle est remplacée par « Non renseigné » et l'opportunité est conservée avec son budget, son échéance et son client.</w:t>
      </w:r>
    </w:p>
    <w:p>
      <w:pPr>
        <w:spacing w:before="40"/>
      </w:pPr>
      <w:r>
        <w:rPr>
          <w:i/>
          <w:color w:val="52514E"/>
          <w:sz w:val="19"/>
        </w:rPr>
        <w:t>Le rejet de la ligne entière était le choix initial, et il était trop cher : une opportunité complète disparaissait des totaux à cause d'un statut mal tapé. « Non renseigné » n'invente rien — il DIT que la donnée manque, reste visible comme catégorie à part dans les graphiques, et se filtre comme n'importe quelle autre valeur.</w:t>
      </w:r>
    </w:p>
    <w:p>
      <w:r>
        <w:rPr>
          <w:b w:val="0"/>
          <w:i w:val="0"/>
        </w:rPr>
        <w:t>La contrepartie est non négociable : réparer sans tracer reviendrait à corrompre les données en silence, exactement ce que le rejet servait à éviter. Chaque remplacement est recensé avec son numéro de ligne, sa colonne et sa valeur d'origine, exposé par GET /data/quality et par le tableau de bord « Qualité des données » — qui porte un compteur « Lignes écartées malgré tout » devant rester à zéro.</w:t>
      </w:r>
    </w:p>
    <w:p>
      <w:r>
        <w:rPr>
          <w:b w:val="0"/>
          <w:i w:val="0"/>
        </w:rPr>
        <w:t>Cas particulier de l'échéance : tous les champs dérivés en dépendent (deadline_month, deadline_year, days_remaining). Sans elle ils restent vides, et la ligne sort naturellement des analyses temporelles et du filtre « urgentes » sans cesser de compter dans les totaux — ce qui est précisément le but de la conserver.</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 Onze d'entre elles relevaient d'une décision métier (deux statuts légitimes à ajouter à la liste blanche) ; les quatre dernières portaient un type d'opportunité dans la colonne statut. Aucune n'est plus perdue aujourd'hui.</w:t>
      </w:r>
    </w:p>
    <w:p>
      <w:pPr>
        <w:keepNext/>
        <w:spacing w:before="280" w:after="120"/>
      </w:pPr>
      <w:r>
        <w:rPr>
          <w:b/>
          <w:color w:val="242422"/>
          <w:sz w:val="27"/>
        </w:rPr>
        <w:t>4.3 Écriture retour dans le Sheet</w:t>
      </w:r>
    </w:p>
    <w:p>
      <w:r>
        <w:rPr>
          <w:b w:val="0"/>
          <w:i w:val="0"/>
        </w:rPr>
        <w:t>Le module écrit dans le Sheet deux choses seulement : l'identifiant des nouvelles lignes, et les quatre colonnes calculées — pour que l'utilisateur voie le résultat sans ouvrir l'application. Toutes ces cellules sont envoyées en un SEUL appel groupé : sur ~360 lignes × 4 colonnes, un appel par cellule représenterait plus d'un millier d'allers-retours réseau.</w:t>
      </w:r>
    </w:p>
    <w:p>
      <w:r>
        <w:rPr>
          <w:b w:val="0"/>
          <w:i w:val="0"/>
        </w:rPr>
        <w:t>Volontairement, aucune suppression :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Gemini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Widget</w:t>
            </w:r>
          </w:p>
        </w:tc>
        <w:tc>
          <w:tcPr>
            <w:tcW w:type="dxa" w:w="4706"/>
            <w:shd w:fill="F2405A"/>
          </w:tcPr>
          <w:p>
            <w:r/>
            <w:r>
              <w:rPr>
                <w:b/>
                <w:color w:val="FFFFFF"/>
                <w:sz w:val="19"/>
              </w:rPr>
              <w:t>Rôle</w:t>
            </w:r>
          </w:p>
        </w:tc>
      </w:tr>
      <w:t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c>
          <w:tcPr>
            <w:tcW w:type="dxa" w:w="4706"/>
            <w:shd w:fill="FAFAF8"/>
          </w:tcPr>
          <w:p>
            <w:r/>
            <w:r>
              <w:rPr>
                <w:sz w:val="19"/>
              </w:rPr>
              <w:t>Graphique principal</w:t>
            </w:r>
          </w:p>
        </w:tc>
        <w:tc>
          <w:tcPr>
            <w:tcW w:type="dxa" w:w="4706"/>
            <w:shd w:fill="FAFAF8"/>
          </w:tcPr>
          <w:p>
            <w:r/>
            <w:r>
              <w:rPr>
                <w:sz w:val="19"/>
              </w:rPr>
              <w:t>Répond directement à la question posée.</w:t>
            </w:r>
          </w:p>
        </w:tc>
      </w:tr>
      <w:tr>
        <w:tc>
          <w:tcPr>
            <w:tcW w:type="dxa" w:w="4706"/>
          </w:tcPr>
          <w:p>
            <w:r/>
            <w:r>
              <w:rPr>
                <w:sz w:val="19"/>
              </w:rPr>
              <w:t>Angle complémentaire</w:t>
            </w:r>
          </w:p>
        </w:tc>
        <w:tc>
          <w:tcPr>
            <w:tcW w:type="dxa" w:w="4706"/>
          </w:tcPr>
          <w:p>
            <w:r/>
            <w:r>
              <w:rPr>
                <w:sz w:val="19"/>
              </w:rPr>
              <w:t>La même métrique sur une autre dimension.</w:t>
            </w:r>
          </w:p>
        </w:tc>
      </w:tr>
      <w:tr>
        <w:tc>
          <w:tcPr>
            <w:tcW w:type="dxa" w:w="4706"/>
            <w:shd w:fill="FAFAF8"/>
          </w:tcPr>
          <w:p>
            <w:r/>
            <w:r>
              <w:rPr>
                <w:sz w:val="19"/>
              </w:rPr>
              <w:t>Pipeline commercial</w:t>
            </w:r>
          </w:p>
        </w:tc>
        <w:tc>
          <w:tcPr>
            <w:tcW w:type="dxa" w:w="4706"/>
            <w:shd w:fill="FAFAF8"/>
          </w:tcPr>
          <w:p>
            <w:r/>
            <w:r>
              <w:rPr>
                <w:sz w:val="19"/>
              </w:rPr>
              <w:t>L'entonnoir des statuts sur ce périmètre.</w:t>
            </w:r>
          </w:p>
        </w:tc>
      </w:tr>
      <w:t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Règles métier et assistance (business_rules.py, intent_refiner.py)</w:t>
      </w:r>
    </w:p>
    <w:p>
      <w:r>
        <w:rPr>
          <w:b w:val="0"/>
          <w:i w:val="0"/>
        </w:rPr>
        <w:t>Trois familles de règles décident de ce qui est compté, de la forme retenue pour le montrer, et de ce que devient une demande d'ajustement. Elles vivent hors du modèle de langage : ce sont des décisions métier, elles doivent être relisibles, testables et identiques d'une exécution à l'autre.</w:t>
      </w:r>
    </w:p>
    <w:p>
      <w:pPr>
        <w:keepNext/>
        <w:spacing w:before="280" w:after="120"/>
      </w:pPr>
      <w:r>
        <w:rPr>
          <w:b/>
          <w:color w:val="242422"/>
          <w:sz w:val="27"/>
        </w:rPr>
        <w:t>9.1 Les affaires perdues sortent des chiffres par défaut</w:t>
      </w:r>
    </w:p>
    <w:p>
      <w:r>
        <w:rPr>
          <w:b w:val="0"/>
          <w:i w:val="0"/>
        </w:rPr>
        <w:t>Un « budget total » de 164,4 M€ additionnait 66,1 M€ d'affaires définitivement mortes — Offre perdue, Infructueux, NO GO, Hors scope, Non shortlisté. Le chiffre était exact et inutilisable : personne ne décide sur un portefeuille qui compte ses échecs comme du potentiel. La liste LOST_STATUSES est donc retirée par défaut de toutes les métriques et de tous les graphiques.</w:t>
      </w:r>
    </w:p>
    <w:p>
      <w:pPr>
        <w:spacing w:before="40"/>
      </w:pPr>
      <w:r>
        <w:rPr>
          <w:i/>
          <w:color w:val="52514E"/>
          <w:sz w:val="19"/>
        </w:rPr>
        <w:t>Le point délicat est la SYMÉTRIE. Deux moteurs répondent à la même question : le SQL des widgets (sql_builder) et le pandas du message texte (db_layer). Si un seul appliquait la règle, le graphique et la phrase juste au-dessus annonceraient deux totaux différents. Les deux l'appliquent, et l'égalité a été vérifiée sur les vraies données — 98 320 001 € des deux côtés avant récupération des lignes rejetées.</w:t>
      </w:r>
    </w:p>
    <w:p>
      <w:r>
        <w:rPr>
          <w:b w:val="0"/>
          <w:i w:val="0"/>
        </w:rPr>
        <w:t>C'est un défaut, pas une censure. Dès que la question filtre elle-même sur un statut, l'exclusion est levée : « liste des offres perdues » doit répondre, pas renvoyer un tableau vide. Une simple répartition PAR statut ne la lève pas, sans quoi les barres ne se réconcilieraient plus avec le total affiché au-dessus d'elles.</w:t>
      </w:r>
    </w:p>
    <w:p>
      <w:pPr>
        <w:keepNext/>
        <w:spacing w:before="280" w:after="120"/>
      </w:pPr>
      <w:r>
        <w:rPr>
          <w:b/>
          <w:color w:val="242422"/>
          <w:sz w:val="27"/>
        </w:rPr>
        <w:t>9.2 L'entonnoir, reconstruit depuis un instantané</w:t>
      </w:r>
    </w:p>
    <w:p>
      <w:r>
        <w:rPr>
          <w:b w:val="0"/>
          <w:i w:val="0"/>
        </w:rPr>
        <w:t>FUNNEL_STAGE_ORDER décrit les 12 étapes du pipeline, de Lead à Offre signée. La subtilité est que le statut est l'état COURANT d'une opportunité, pas son historique : compter les opportunités par statut ne décroît pas et ne forme donc aucun entonnoir. La reconstruction cumule depuis la fin — « ayant atteint au moins cette étape » — ce qui décroît par construction. Sur les données réelles : 225 à l'entrée, 32 signées, et un taux de passage jamais supérieur à 100 %. Le dernier, gagnée → signée à 36 %, est en soi une information métier.</w:t>
      </w:r>
    </w:p>
    <w:p>
      <w:pPr>
        <w:spacing w:before="40"/>
      </w:pPr>
      <w:r>
        <w:rPr>
          <w:i/>
          <w:color w:val="52514E"/>
          <w:sz w:val="19"/>
        </w:rPr>
        <w:t>Deux statuts ont été ajoutés après vérification auprès du métier : « Offre signée », qui n'était dans aucune étape alors que c'est l'étape finale (32 opportunités, 13,1 M€, invisibles), et « En attente du plan de charge », présent dans les données mais absent de la liste blanche — donc rejeté à chaque chargement. Ce genre de question ne se devine pas : elle se pose.</w:t>
      </w:r>
    </w:p>
    <w:p>
      <w:pPr>
        <w:keepNext/>
        <w:spacing w:before="280" w:after="120"/>
      </w:pPr>
      <w:r>
        <w:rPr>
          <w:b/>
          <w:color w:val="242422"/>
          <w:sz w:val="27"/>
        </w:rPr>
        <w:t>9.3 Le type de graphique est arbitré sur les données</w:t>
      </w:r>
    </w:p>
    <w:p>
      <w:r>
        <w:rPr>
          <w:b w:val="0"/>
          <w:i w:val="0"/>
        </w:rPr>
        <w:t>Le modèle propose une forme à partir des mots de la question ; choose_chart_type la confronte ensuite à la forme réelle des données. « Répartition par pays » contient bien le mot qui appelle un camembert, mais il y a 19 pays : au-delà de six parts, deux angles voisins ne se comparent plus. La cardinalité est mesurée APRÈS application des filtres — une dimension à 19 valeurs peut n'en avoir que trois sur un périmètre restreint, et le camembert redevient alors le bon choix.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Situation</w:t>
            </w:r>
          </w:p>
        </w:tc>
        <w:tc>
          <w:tcPr>
            <w:tcW w:type="dxa" w:w="3137"/>
            <w:shd w:fill="F2405A"/>
          </w:tcPr>
          <w:p>
            <w:r/>
            <w:r>
              <w:rPr>
                <w:b/>
                <w:color w:val="FFFFFF"/>
                <w:sz w:val="19"/>
              </w:rPr>
              <w:t>Forme retenue</w:t>
            </w:r>
          </w:p>
        </w:tc>
        <w:tc>
          <w:tcPr>
            <w:tcW w:type="dxa" w:w="3137"/>
            <w:shd w:fill="F2405A"/>
          </w:tcPr>
          <w:p>
            <w:r/>
            <w:r>
              <w:rPr>
                <w:b/>
                <w:color w:val="FFFFFF"/>
                <w:sz w:val="19"/>
              </w:rPr>
              <w:t>Pourquoi</w:t>
            </w:r>
          </w:p>
        </w:tc>
      </w:tr>
      <w:tr>
        <w:tc>
          <w:tcPr>
            <w:tcW w:type="dxa" w:w="3137"/>
          </w:tcPr>
          <w:p>
            <w:r/>
            <w:r>
              <w:rPr>
                <w:sz w:val="19"/>
              </w:rPr>
              <w:t>Camembert sur plus de 6 valeurs</w:t>
            </w:r>
          </w:p>
        </w:tc>
        <w:tc>
          <w:tcPr>
            <w:tcW w:type="dxa" w:w="3137"/>
          </w:tcPr>
          <w:p>
            <w:r/>
            <w:r>
              <w:rPr>
                <w:sz w:val="19"/>
              </w:rPr>
              <w:t>Barres</w:t>
            </w:r>
          </w:p>
        </w:tc>
        <w:tc>
          <w:tcPr>
            <w:tcW w:type="dxa" w:w="3137"/>
          </w:tcPr>
          <w:p>
            <w:r/>
            <w:r>
              <w:rPr>
                <w:sz w:val="19"/>
              </w:rPr>
              <w:t>Les angles ne se distinguent plus.</w:t>
            </w:r>
          </w:p>
        </w:tc>
      </w:tr>
      <w:tr>
        <w:tc>
          <w:tcPr>
            <w:tcW w:type="dxa" w:w="3137"/>
            <w:shd w:fill="FAFAF8"/>
          </w:tcPr>
          <w:p>
            <w:r/>
            <w:r>
              <w:rPr>
                <w:sz w:val="19"/>
              </w:rPr>
              <w:t>Camembert d'une moyenne</w:t>
            </w:r>
          </w:p>
        </w:tc>
        <w:tc>
          <w:tcPr>
            <w:tcW w:type="dxa" w:w="3137"/>
            <w:shd w:fill="FAFAF8"/>
          </w:tcPr>
          <w:p>
            <w:r/>
            <w:r>
              <w:rPr>
                <w:sz w:val="19"/>
              </w:rPr>
              <w:t>Barres</w:t>
            </w:r>
          </w:p>
        </w:tc>
        <w:tc>
          <w:tcPr>
            <w:tcW w:type="dxa" w:w="3137"/>
            <w:shd w:fill="FAFAF8"/>
          </w:tcPr>
          <w:p>
            <w:r/>
            <w:r>
              <w:rPr>
                <w:sz w:val="19"/>
              </w:rPr>
              <w:t>Une moyenne ne s'additionne pas : elle ne forme pas des parts d'un tout.</w:t>
            </w:r>
          </w:p>
        </w:tc>
      </w:tr>
      <w:tr>
        <w:tc>
          <w:tcPr>
            <w:tcW w:type="dxa" w:w="3137"/>
          </w:tcPr>
          <w:p>
            <w:r/>
            <w:r>
              <w:rPr>
                <w:sz w:val="19"/>
              </w:rPr>
              <w:t>Camembert d'un top N</w:t>
            </w:r>
          </w:p>
        </w:tc>
        <w:tc>
          <w:tcPr>
            <w:tcW w:type="dxa" w:w="3137"/>
          </w:tcPr>
          <w:p>
            <w:r/>
            <w:r>
              <w:rPr>
                <w:sz w:val="19"/>
              </w:rPr>
              <w:t>Barres</w:t>
            </w:r>
          </w:p>
        </w:tc>
        <w:tc>
          <w:tcPr>
            <w:tcW w:type="dxa" w:w="3137"/>
          </w:tcPr>
          <w:p>
            <w:r/>
            <w:r>
              <w:rPr>
                <w:sz w:val="19"/>
              </w:rPr>
              <w:t>Les parts ne totalisent pas le portefeuille, les pourcentages seraient faux.</w:t>
            </w:r>
          </w:p>
        </w:tc>
      </w:tr>
      <w:tr>
        <w:tc>
          <w:tcPr>
            <w:tcW w:type="dxa" w:w="3137"/>
            <w:shd w:fill="FAFAF8"/>
          </w:tcPr>
          <w:p>
            <w:r/>
            <w:r>
              <w:rPr>
                <w:sz w:val="19"/>
              </w:rPr>
              <w:t>Courbe sur une dimension non temporelle</w:t>
            </w:r>
          </w:p>
        </w:tc>
        <w:tc>
          <w:tcPr>
            <w:tcW w:type="dxa" w:w="3137"/>
            <w:shd w:fill="FAFAF8"/>
          </w:tcPr>
          <w:p>
            <w:r/>
            <w:r>
              <w:rPr>
                <w:sz w:val="19"/>
              </w:rPr>
              <w:t>Barres</w:t>
            </w:r>
          </w:p>
        </w:tc>
        <w:tc>
          <w:tcPr>
            <w:tcW w:type="dxa" w:w="3137"/>
            <w:shd w:fill="FAFAF8"/>
          </w:tcPr>
          <w:p>
            <w:r/>
            <w:r>
              <w:rPr>
                <w:sz w:val="19"/>
              </w:rPr>
              <w:t>Relier des catégories suggère une progression qui n'existe pas.</w:t>
            </w:r>
          </w:p>
        </w:tc>
      </w:tr>
      <w:tr>
        <w:tc>
          <w:tcPr>
            <w:tcW w:type="dxa" w:w="3137"/>
          </w:tcPr>
          <w:p>
            <w:r/>
            <w:r>
              <w:rPr>
                <w:sz w:val="19"/>
              </w:rPr>
              <w:t>Barres sur une dimension temporelle</w:t>
            </w:r>
          </w:p>
        </w:tc>
        <w:tc>
          <w:tcPr>
            <w:tcW w:type="dxa" w:w="3137"/>
          </w:tcPr>
          <w:p>
            <w:r/>
            <w:r>
              <w:rPr>
                <w:sz w:val="19"/>
              </w:rPr>
              <w:t>Courbe</w:t>
            </w:r>
          </w:p>
        </w:tc>
        <w:tc>
          <w:tcPr>
            <w:tcW w:type="dxa" w:w="3137"/>
          </w:tcPr>
          <w:p>
            <w:r/>
            <w:r>
              <w:rPr>
                <w:sz w:val="19"/>
              </w:rPr>
              <w:t>La question porte sur le mouvement d'ensemble, pas sur des comparaisons deux à deux.</w:t>
            </w:r>
          </w:p>
        </w:tc>
      </w:tr>
      <w:tr>
        <w:tc>
          <w:tcPr>
            <w:tcW w:type="dxa" w:w="3137"/>
            <w:shd w:fill="FAFAF8"/>
          </w:tcPr>
          <w:p>
            <w:r/>
            <w:r>
              <w:rPr>
                <w:sz w:val="19"/>
              </w:rPr>
              <w:t>Tableau, entonnoir, nuage, carte de chaleur</w:t>
            </w:r>
          </w:p>
        </w:tc>
        <w:tc>
          <w:tcPr>
            <w:tcW w:type="dxa" w:w="3137"/>
            <w:shd w:fill="FAFAF8"/>
          </w:tcPr>
          <w:p>
            <w:r/>
            <w:r>
              <w:rPr>
                <w:sz w:val="19"/>
              </w:rPr>
              <w:t>Inchangée</w:t>
            </w:r>
          </w:p>
        </w:tc>
        <w:tc>
          <w:tcPr>
            <w:tcW w:type="dxa" w:w="3137"/>
            <w:shd w:fill="FAFAF8"/>
          </w:tcPr>
          <w:p>
            <w:r/>
            <w:r>
              <w:rPr>
                <w:sz w:val="19"/>
              </w:rPr>
              <w:t>Formes demandées nommément : les remplacer trahirait la question.</w:t>
            </w:r>
          </w:p>
        </w:tc>
      </w:tr>
    </w:tbl>
    <w:p/>
    <w:p>
      <w:r>
        <w:rPr>
          <w:b w:val="0"/>
          <w:i w:val="0"/>
        </w:rPr>
        <w:t>Quand la forme change, la raison est affichée sous le graphique. Voir des barres après avoir demandé un camembert, sans explication, donne le sentiment que l'outil n'a pas compris la question.</w:t>
      </w:r>
    </w:p>
    <w:p>
      <w:pPr>
        <w:keepNext/>
        <w:spacing w:before="280" w:after="120"/>
      </w:pPr>
      <w:r>
        <w:rPr>
          <w:b/>
          <w:color w:val="242422"/>
          <w:sz w:val="27"/>
        </w:rPr>
        <w:t>9.4 Les retouches sont appliquées par le code, pas par le modèle</w:t>
      </w:r>
    </w:p>
    <w:p>
      <w:r>
        <w:rPr>
          <w:b w:val="0"/>
          <w:i w:val="0"/>
        </w:rPr>
        <w:t>« En camembert », « top 5 », « par practice », « sans filtre » ne sont pas des questions : ce sont des ajustements du tableau de bord affiché. Les traiter comme des questions neuves faisait perdre le contexte — « par pays » repartait sur le nombre d'opportunités alors que la question d'avant portait sur le budget — et consommait une requête du quota gratuit pour un changement que le code sait appliquer instantanément.</w:t>
      </w:r>
    </w:p>
    <w:p>
      <w:r>
        <w:rPr>
          <w:b w:val="0"/>
          <w:i w:val="0"/>
        </w:rPr>
        <w:t>Ces retouches se TAPENT, elles ne se cliquent pas. Une rangée de raccourcis avait été essayée puis retirée : décrire ce que l'on veut est plus expressif qu'un choix parmi quatre, et la présence des boutons suggérait à tort que le reste ne se demandait pas.</w:t>
      </w:r>
    </w:p>
    <w:p>
      <w:pPr>
        <w:spacing w:before="40"/>
      </w:pPr>
      <w:r>
        <w:rPr>
          <w:i/>
          <w:color w:val="52514E"/>
          <w:sz w:val="19"/>
        </w:rPr>
        <w:t>Le garde-fou est le cœur du mécanisme. Une retouche hérite EN SILENCE de tout le contexte précédent : si un seul mot de la demande n'a pas été compris, hériter revient à répondre à une autre question. Chaque mot porteur de sens doit donc avoir été consommé par une règle ; au moindre reliquat, la main est rendue au chemin complet. Le premier jet ne vérifiait que la longueur, et servait « Risk Advisory » à quelqu'un qui demandait le Maroc.</w:t>
      </w:r>
    </w:p>
    <w:p>
      <w:r>
        <w:rPr>
          <w:b w:val="0"/>
          <w:i w:val="0"/>
        </w:rPr>
        <w:t>Une règle secondaire mérite d'être notée : changer d'axe retire le filtre à valeur unique qui figeait cette même colonne, sinon grouper PAR practice alors qu'un filtre fige UNE practice donnerait un graphique à une seule barre. Les filtres à plusieurs valeurs sont épargnés — « compare la France et le Maroc » veut précisément cet axe ET cette restriction.</w:t>
      </w:r>
    </w:p>
    <w:p>
      <w:pPr>
        <w:keepNext/>
        <w:spacing w:before="280" w:after="120"/>
      </w:pPr>
      <w:r>
        <w:rPr>
          <w:b/>
          <w:color w:val="242422"/>
          <w:sz w:val="27"/>
        </w:rPr>
        <w:t>9.5 « Offre remise » est un terme métier, pas un statut</w:t>
      </w:r>
    </w:p>
    <w:p>
      <w:r>
        <w:rPr>
          <w:b w:val="0"/>
          <w:i w:val="0"/>
        </w:rPr>
        <w:t>Le statut décrit l'état COURANT d'une opportunité, pas son historique. Une offre partie chez le client et gagnée depuis n'est plus au statut « Offre remise » : compter ce seul statut donne 4 offres là où 57 ont réellement été déposées. Sont donc « remises » les opportunités dont le statut ATTESTE le dépôt — Offre remise, En attente du plan de charge, Offre gagnée, Offre signée, Offre perdue.</w:t>
      </w:r>
    </w:p>
    <w:p>
      <w:pPr>
        <w:spacing w:before="40"/>
      </w:pPr>
      <w:r>
        <w:rPr>
          <w:i/>
          <w:color w:val="52514E"/>
          <w:sz w:val="19"/>
        </w:rPr>
        <w:t>Trois définitions étaient défendables selon qu'on y range les appels d'offres infructueux et les candidatures non shortlistées — 57, 62 ou 67 offres, pour un taux de réussite de 53 %, 48 % ou 45 %. L'écart est trop grand pour être tranché par le code : la question a été posée au métier, qui a retenu la définition la plus stricte. Il n'existe par ailleurs aucune colonne « date de remise » : l'échéance en tient lieu, la date limite de dépôt étant, pour un appel d'offres, la date de remise.</w:t>
      </w:r>
    </w:p>
    <w:p>
      <w:r>
        <w:rPr>
          <w:b w:val="0"/>
          <w:i w:val="0"/>
        </w:rPr>
        <w:t>Filtrer sur ces statuts lève au passage l'exclusion par défaut des affaires perdues (section 9.1) — ce qui est exactement voulu : une offre perdue a bien été remise, et sans cela la question « sur le total remis, combien de perdues ? » n'aurait pas de réponse. La définition sert le dashboard ET le chat : sans règle dédiée, la même question posée dans la conversation aurait répondu 4.</w:t>
      </w:r>
    </w:p>
    <w:p>
      <w:r>
        <w:rPr>
          <w:b w:val="0"/>
          <w:i w:val="0"/>
        </w:rPr>
        <w:t>Le taux de réussite se calcule sur les offres DÉCIDÉES, pas sur le total remis : une offre en attente n'est ni un succès ni un échec, la compter au dénominateur écraserait le taux sans rien dire de vrai.</w:t>
      </w:r>
    </w:p>
    <w:p>
      <w:pPr>
        <w:keepNext/>
        <w:spacing w:before="280" w:after="120"/>
      </w:pPr>
      <w:r>
        <w:rPr>
          <w:b/>
          <w:color w:val="242422"/>
          <w:sz w:val="27"/>
        </w:rPr>
        <w:t>9.6 Affaires chaudes, et le piège du range_filter</w:t>
      </w:r>
    </w:p>
    <w:p>
      <w:r>
        <w:rPr>
          <w:b w:val="0"/>
          <w:i w:val="0"/>
        </w:rPr>
        <w:t>Une « affaire chaude » est toute opportunité dont la probabilité de gain atteint 80 %. UN SEUL critère : le statut n'entre pas en compte. Le portefeuille compte ainsi 105 opportunités et 51,3 M€ sur l'ensemble de l'historique. Les offres perdues en sortent d'elles-mêmes sans qu'aucun filtre soit nécessaire — leur pondération est vide dans le Sheet, et une comparaison avec une valeur absente est toujours fausse.</w:t>
      </w:r>
    </w:p>
    <w:p>
      <w:pPr>
        <w:spacing w:before="40"/>
      </w:pPr>
      <w:r>
        <w:rPr>
          <w:i/>
          <w:color w:val="52514E"/>
          <w:sz w:val="19"/>
        </w:rPr>
        <w:t>Ce périmètre a d'abord été restreint aux offres encore en jeu (14 affaires), puis élargi sur décision métier. La question qui l'a déclenché — « pourquoi des offres à 100 % n'apparaissent-elles pas ? » — a d'ailleurs mis au jour une convention de saisie : la pondération est une PRÉVISION tant que l'offre est ouverte (40 % ou 80 %), un CONSTAT à 100 % une fois gagnée, et vide une fois perdue. Les 88 opportunités à 100 % sont exactement les 88 déjà gagnées ou signées, sans une exception.</w:t>
      </w:r>
    </w:p>
    <w:p>
      <w:r>
        <w:rPr>
          <w:b w:val="0"/>
          <w:i w:val="0"/>
        </w:rPr>
        <w:t>L'indicateur ne mesure donc plus un pipeline à pousser mais un portefeuille à forte confiance, mêlant l'acquis et l'à-venir. Les intitulés le disent : « Budget à forte confiance » plutôt que « Budget en jeu », qui laissait entendre une affaire encore ouverte.</w:t>
      </w:r>
    </w:p>
    <w:p>
      <w:r>
        <w:rPr>
          <w:b w:val="0"/>
          <w:i w:val="0"/>
        </w:rPr>
        <w:t>Le détail occupe sa propre ligne, répartie en TROIS tables côte à côte. Le tableau de DAC ne défilant pas verticalement, sa hauteur est son nombre de lignes : la répartir en trois la divise par trois sans en retirer une seule, ce qui était la contrainte. NTILE(3) plutôt qu'un seuil de rang en dur, le total changeant avec le filtre de période — 35/35/35 sur l'historique, 19/18/18 par défaut, rangs continus et sans doublon. Le rang est affiché : trois listes triées côte à côte ne diraient pas, sinon, laquelle vient en premier.</w:t>
      </w:r>
    </w:p>
    <w:p>
      <w:pPr>
        <w:spacing w:before="40"/>
      </w:pPr>
      <w:r>
        <w:rPr>
          <w:i/>
          <w:color w:val="52514E"/>
          <w:sz w:val="19"/>
        </w:rPr>
        <w:t>Le widget tableau de Bruin DAC ne défile pas verticalement : son élément externe est un simple overflow-x-auto, sans hauteur ni overflow-y, dans un cadre overflow-hidden. Borner la hauteur de la ligne le CLIPPE au lieu de le rendre défilable, et aucun contournement n'existe — le schéma refuse height sur un widget, le thème refuse le CSS, le TSX partage le même modèle que le YAML, et le markdown d'un widget text est rendu sans rehype-raw, donc sans HTML brut. Un rendu React hors de l'iframe a été essayé puis retiré : il donnait la molette mais sortait le tableau du dashboard.</w:t>
      </w:r>
    </w:p>
    <w:p>
      <w:r>
        <w:rPr>
          <w:b w:val="0"/>
          <w:i w:val="0"/>
        </w:rPr>
        <w:t>Le tableau passant par pandas et les KPI par du SQL, un test confronte les deux définitions sur les mêmes lignes. Il a révélé un piège de DuckDB : « NaN &gt;= 0.8 » y vaut VRAI. Le vrai export écrit des NULL, donc rien n'est faux en production, mais s'il écrivait des NaN le KPI passerait de 105 à 275 sans qu'aucune requête n'échoue. Un test l'interdit désormais.</w:t>
      </w:r>
    </w:p>
    <w:p>
      <w:r>
        <w:rPr>
          <w:b w:val="0"/>
          <w:i w:val="0"/>
        </w:rPr>
        <w:t>L'application connaissait déjà le terme « offre pondérée » avec la même intention mais un périmètre plus étroit. Deux définitions divergentes pour une même réalité auraient donné deux chiffres selon le mot employé : elles sont unifiées dans business_rules.HOT_DEAL_STATUSES, partagée par le dashboard et par le chat.</w:t>
      </w:r>
    </w:p>
    <w:p>
      <w:pPr>
        <w:spacing w:before="40"/>
      </w:pPr>
      <w:r>
        <w:rPr>
          <w:i/>
          <w:color w:val="52514E"/>
          <w:sz w:val="19"/>
        </w:rPr>
        <w:t>Brancher ce terme a révélé un même défaut logé dans TROIS modules. db_layer, sql_builder et response_builder ne s'accordaient pas sur ce que signifie un range_filter : deux le traitaient comme une demande de liste brute, le troisième non. « Affaires chaudes par practice » renvoyait donc les lignes brutes dans le chat pendant que le dashboard groupait, et « combien d'affaires chaudes ? » répondait « 1 opportunité » — le nombre de LIGNES du résultat agrégé, au lieu des 14 qu'il contenait.</w:t>
      </w:r>
    </w:p>
    <w:p>
      <w:r>
        <w:rPr>
          <w:b w:val="0"/>
          <w:i w:val="0"/>
        </w:rPr>
        <w:t>Le seuil est un MINIMUM : 90 % ou 100 % entrent aussi dans les affaires chaudes. Encore fallait-il le prouver — sur les vraies données, aucune affaire encore en jeu ne dépasse 80 %, donc remplacer « &gt;= » par « = » n'aurait changé aucun chiffre et serait passé inaperçu. dac check prouve qu'une requête s'exécute, pas qu'elle sélectionne les bonnes lignes : un fichier de tests dédié exécute désormais le SQL de la vue d'ensemble sur des lignes fabriquées, et la protection a été vérifiée par mutation.</w:t>
      </w:r>
    </w:p>
    <w:p>
      <w:pPr>
        <w:spacing w:before="40"/>
      </w:pPr>
      <w:r>
        <w:rPr>
          <w:i/>
          <w:color w:val="52514E"/>
          <w:sz w:val="19"/>
        </w:rPr>
        <w:t>Découverte au passage : dans ce Sheet, 100 % n'est pas une prévision mais un CONSTAT. Les 88 opportunités à 1,0 sont exactement les 88 déjà gagnées ou signées — correspondance parfaite. Aucune affaire chaude n'apparaît donc à 100 %, non par un défaut du filtre, mais parce qu'une affaire dont la décision est tombée n'est plus en jeu.</w:t>
      </w:r>
    </w:p>
    <w:p>
      <w:r>
        <w:rPr>
          <w:b w:val="0"/>
          <w:i w:val="0"/>
        </w:rPr>
        <w:t>Borner une valeur n'est pas demander une liste. Le souhait d'une liste s'exprime par use_raw_table ou chart_type == « table », et les trois modules appliquent maintenant cette règle. Deux tests de non-régression la verrouillent, un par module concerné.</w:t>
      </w:r>
    </w:p>
    <w:p>
      <w:pPr>
        <w:keepNext/>
        <w:spacing w:before="280" w:after="120"/>
      </w:pPr>
      <w:r>
        <w:rPr>
          <w:b/>
          <w:color w:val="242422"/>
          <w:sz w:val="27"/>
        </w:rPr>
        <w:t>9.7 Compléter plutôt que remplacer</w:t>
      </w:r>
    </w:p>
    <w:p>
      <w:r>
        <w:rPr>
          <w:b w:val="0"/>
          <w:i w:val="0"/>
        </w:rPr>
        <w:t>« Ajoute le budget par pays » place un widget de plus sur le tableau de bord affiché au lieu de le recomposer. Le verbe ne change rien à l'analyse demandée — même métrique, même axe, mêmes filtres — seulement la façon dont le résultat rejoint l'écran : d'où un simple drapeau porté par l'intention, plutôt qu'un chemin de composition parallèle à maintenir.</w:t>
      </w:r>
    </w:p>
    <w:p>
      <w:pPr>
        <w:spacing w:before="40"/>
      </w:pPr>
      <w:r>
        <w:rPr>
          <w:i/>
          <w:color w:val="52514E"/>
          <w:sz w:val="19"/>
        </w:rPr>
        <w:t>Limite acceptée volontairement : l'ajout ne complète PAS la vue d'ensemble, seulement le tableau de bord de travail. Les widgets de la vue d'ensemble suivent les filtres de période et de practice de la page, qu'un widget ajouté ne connaît pas — déplacer le filtre mettrait 24 widgets à jour et pas le 25e. Un piège silencieux vaut moins qu'une limite énoncée.</w:t>
      </w:r>
    </w:p>
    <w:p>
      <w:r>
        <w:rPr>
          <w:b w:val="0"/>
          <w:i w:val="0"/>
        </w:rPr>
        <w:t>Un ajout déjà présent est signalé comme tel plutôt qu'annoncé à tort, et un plafond de 24 widgets empêche la page de devenir un mur où l'on ne trouve plus rien.</w:t>
      </w:r>
    </w:p>
    <w:p>
      <w:pPr>
        <w:keepNext/>
        <w:spacing w:before="280" w:after="120"/>
      </w:pPr>
      <w:r>
        <w:rPr>
          <w:b/>
          <w:color w:val="242422"/>
          <w:sz w:val="27"/>
        </w:rPr>
        <w:t>9.8 Dire ce qui a changé</w:t>
      </w:r>
    </w:p>
    <w:p>
      <w:r>
        <w:rPr>
          <w:b w:val="0"/>
          <w:i w:val="0"/>
        </w:rPr>
        <w:t>Une demande de suite modifie le tableau de bord affiché. Sans le dire, l'utilisateur voit l'iframe se recharger sans savoir ce qui a été pris en compte. La phrase est construite en comparant les deux intentions — jamais par le modèle : elle décrit ce qui a réellement changé dans les requêtes, pas ce qu'on croit avoir compris.</w:t>
      </w:r>
    </w:p>
    <w:p>
      <w:pPr>
        <w:spacing w:before="40"/>
      </w:pPr>
      <w:r>
        <w:rPr>
          <w:i/>
          <w:color w:val="52514E"/>
          <w:sz w:val="19"/>
        </w:rPr>
        <w:t>Deux cas restaient muets, et seule l'exécution les a montrés. « En camembert » sur dix-neuf pays ne produisait AUCUN message : la forme était bien refusée, mais la raison ne vivait que dans le tableau de bord, et rien d'autre n'ayant bougé, la comparaison ne trouvait rien à dire. Une demande sans effet — un filtre déjà posé — était tout aussi silencieuse. Chaque demande reçoit désormais une réponse explicite.</w:t>
      </w:r>
    </w:p>
    <w:p>
      <w:r>
        <w:rPr>
          <w:b w:val="0"/>
          <w:i w:val="0"/>
        </w:rPr>
        <w:t>Au-delà de trois différences, rien n'est annoncé : le mot « modifié » deviendrait trompeur, ce n'est plus une retouche mais une autre analyse.</w:t>
      </w:r>
    </w:p>
    <w:p>
      <w:pPr>
        <w:keepNext/>
        <w:spacing w:before="280" w:after="120"/>
      </w:pPr>
      <w:r>
        <w:rPr>
          <w:b/>
          <w:color w:val="242422"/>
          <w:sz w:val="27"/>
        </w:rPr>
        <w:t>9.9 Un seul tableau de bord, modifié sur place</w:t>
      </w:r>
    </w:p>
    <w:p>
      <w:r>
        <w:rPr>
          <w:b w:val="0"/>
          <w:i w:val="0"/>
        </w:rPr>
        <w:t>Chaque question réécrit _principal.yml, dont le nom de dashboard ne change jamais — donc l'URL de l'iframe non plus. L'utilisateur voit son tableau de bord se transformer au lieu d'en voir apparaître un de plus. En parallèle, un instantané _analyse_&lt;hash&gt;.yml fige le résultat de cette question précise : c'est ce qui permet à la liste déroulante du chat de rouvrir une analyse passée telle qu'elle était, sans repasser par le modèle.</w:t>
      </w:r>
    </w:p>
    <w:p>
      <w:r>
        <w:rPr>
          <w:b w:val="0"/>
          <w:i w:val="0"/>
        </w:rPr>
        <w:t>Le nom de l'instantané vient de l'objectif résolu et non de la phrase tapée : nommer un tableau de bord « En camembert » ne dirait rien de ce qu'il montre, et deux formulations aboutissant à la même analyse partagent ainsi un seul fichier au lieu d'en accumuler deux identiques.</w:t>
      </w:r>
    </w:p>
    <w:p>
      <w:pPr>
        <w:keepNext/>
        <w:spacing w:before="400" w:after="200"/>
        <w:pBdr>
          <w:bottom w:val="single" w:sz="18" w:space="4" w:color="D42A45"/>
        </w:pBdr>
      </w:pPr>
      <w:r>
        <w:rPr>
          <w:b/>
          <w:color w:val="F2405A"/>
          <w:sz w:val="36"/>
        </w:rPr>
        <w:t>10.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11. Alertes deadlines</w:t>
      </w:r>
    </w:p>
    <w:p>
      <w:pPr>
        <w:keepNext/>
        <w:spacing w:before="280" w:after="120"/>
      </w:pPr>
      <w:r>
        <w:rPr>
          <w:b/>
          <w:color w:val="242422"/>
          <w:sz w:val="27"/>
        </w:rPr>
        <w:t>11.1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11.2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11.4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11.5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11.6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11.7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11.8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11.9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12.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12.1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12.2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12.3 Authentification Google — compte de service, pas clé API</w:t>
      </w:r>
    </w:p>
    <w:p>
      <w:r>
        <w:rPr>
          <w:b w:val="0"/>
          <w:i w:val="0"/>
        </w:rPr>
        <w:t>L'application doit pouvoir ÉCRIRE dans le Sheet (identifiants des nouvelles lignes et colonnes calculées, section 4.3), ce qu'une simple clé API ne permet pas — elle est en lecture seule. L'accès passe donc par un compte de service Google (fichier JSON, ajouté en Éditeur sur le Sheet cible).</w:t>
      </w:r>
    </w:p>
    <w:p>
      <w:r>
        <w:rPr>
          <w:b w:val="0"/>
          <w:i w:val="0"/>
        </w:rPr>
        <w:t>Optimisation mesurée : la résolution du Sheet (open_by_key puis worksheet) coûte deux allers-retours réseau, soit 1,6 s, et était rejouée à chaque cycle alors que le client authentifié, lui, était déjà mis en cache. Mettre aussi en cache l'objet Worksheet fait tomber ce coût à zéro sur les appels suivants — un chargement complet passe de ~1,1 s à ~0,4 s. Le profilage avait d'ailleurs démenti l'intuition de départ : les écritures en base ne représentaient que 0,03 s, l'essentiel du temps était réseau.</w:t>
      </w:r>
    </w:p>
    <w:p>
      <w:pPr>
        <w:keepNext/>
        <w:spacing w:before="280" w:after="120"/>
      </w:pPr>
      <w:r>
        <w:rPr>
          <w:b/>
          <w:color w:val="242422"/>
          <w:sz w:val="27"/>
        </w:rPr>
        <w:t>12.4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13.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17).</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13.1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13.2 La saisie en tête de panneau et le volet d'historique</w:t>
      </w:r>
    </w:p>
    <w:p>
      <w:r>
        <w:rPr>
          <w:b w:val="0"/>
          <w:i w:val="0"/>
        </w:rPr>
        <w:t>La zone de saisie était en pied de panneau, sous les messages : elle descendait avec la conversation et demandait de faire défiler pour être retrouvée. Elle est désormais en tête, juste sous l'en-tête, et ne bouge plus. Le trait de séparation passe simplement de border-top à border-bottom.</w:t>
      </w:r>
    </w:p>
    <w:p>
      <w:r>
        <w:rPr>
          <w:b w:val="0"/>
          <w:i w:val="0"/>
        </w:rPr>
        <w:t>C'est le SEUL moyen de modifier le tableau de bord affiché. Une rangée de retouches en un clic avait été essayée puis retirée : décrire ce que l'on veut est plus expressif qu'un choix parmi quatre raccourcis, et la présence des boutons suggérait à tort que le reste ne se demandait pas.</w:t>
      </w:r>
    </w:p>
    <w:p>
      <w:r>
        <w:rPr>
          <w:b w:val="0"/>
          <w:i w:val="0"/>
        </w:rPr>
        <w:t>Les analyses déjà produites vivent dans un volet d'historique, ouvert depuis l'en-tête du TABLEAU DE BORD — pas du chat : c'est par lui qu'on choisit quelle analyse regarder, il précède donc le sélecteur de vue, qui ne fait ensuite que basculer entre elle et la vue d'ensemble. Superposé au chat, groupé par jour, il signale l'analyse affichée et rouvre n'importe quelle demande passée d'un clic. Une liste déroulante avait d'abord été livrée, puis remplacée — elle cachait son contenu tant qu'on ne l'ouvrait pas, tronquait des intitulés qui sont des phrases entières, et ne pouvait porter ni date ni état courant.</w:t>
      </w:r>
    </w:p>
    <w:p>
      <w:pPr>
        <w:spacing w:before="40"/>
      </w:pPr>
      <w:r>
        <w:rPr>
          <w:i/>
          <w:color w:val="52514E"/>
          <w:sz w:val="19"/>
        </w:rPr>
        <w:t>L'historique retrace ce que l'utilisateur a écrit, pas ce que le backend a produit : deux formulations aboutissant au même tableau de bord y restent deux entrées, parce que c'est par sa propre phrase qu'on retrouve une analyse. D'où la clé sur l'identifiant du message et non sur le nom du tableau de bord, qui peut se répéter. Les conversations enregistrées avant l'ajout de l'horodatage sont regroupées sous « Plus ancien » plutôt que de porter une fausse date.</w:t>
      </w:r>
    </w:p>
    <w:p>
      <w:pPr>
        <w:keepNext/>
        <w:spacing w:before="280" w:after="120"/>
      </w:pPr>
      <w:r>
        <w:rPr>
          <w:b/>
          <w:color w:val="242422"/>
          <w:sz w:val="27"/>
        </w:rPr>
        <w:t>13.3 Un seul tableau de bord, et des transitions en fondu</w:t>
      </w:r>
    </w:p>
    <w:p>
      <w:r>
        <w:rPr>
          <w:b w:val="0"/>
          <w:i w:val="0"/>
        </w:rPr>
        <w:t>La bascule entre « Vue d'ensemble » et « Mon tableau de bord » a été retirée : il n'y a plus qu'un tableau de bord, qui s'ouvre sur la vue d'ensemble et que les questions transforment. Le rechargement de la page y revient — l'affichage et le contexte de la dernière question ne sont plus restaurés, car les conserver rouvrait une analyse que personne n'avait redemandée et laissait une suite comme « en camembert » ajuster un tableau de bord qu'on ne regardait plus. La conversation, elle, reste conservée.</w:t>
      </w:r>
    </w:p>
    <w:p>
      <w:pPr>
        <w:spacing w:before="40"/>
      </w:pPr>
      <w:r>
        <w:rPr>
          <w:i/>
          <w:color w:val="52514E"/>
          <w:sz w:val="19"/>
        </w:rPr>
        <w:t>Recharger l'iframe en place la vidait le temps du chargement : l'écran passait au blanc à chaque question. Deux cadres se superposent désormais — celui qu'on regarde, et le suivant qui charge par-dessus, invisible. Quand il est prêt il devient opaque, et l'ancien n'est retiré qu'ENSUITE, une fois le fondu terminé : retirer l'ancien au moment de la promotion aurait laissé apparaître le fond entre les deux.</w:t>
      </w:r>
    </w:p>
    <w:p>
      <w:r>
        <w:rPr>
          <w:b w:val="0"/>
          <w:i w:val="0"/>
        </w:rPr>
        <w:t>Le squelette animé ne sert donc plus qu'au tout premier affichage, quand il n'y a effectivement rien à montrer en attendant (démarrage à froid du moteur de requête). Les fois suivantes, le tableau de bord précédent tient ce rôle bien mieux, et un fil d'attente de deux pixels en tête signale le travail en cours. La préférence système « mouvement réduit » ramène le tout à un basculement instantané, sans jamais rouvrir de fenêtre de vide.</w:t>
      </w:r>
    </w:p>
    <w:p>
      <w:pPr>
        <w:keepNext/>
        <w:spacing w:before="280" w:after="120"/>
      </w:pPr>
      <w:r>
        <w:rPr>
          <w:b/>
          <w:color w:val="242422"/>
          <w:sz w:val="27"/>
        </w:rPr>
        <w:t>13.4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14.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credentials/ (clé de compte de service Google, section 11.1) est gitignoré au niveau du dossier entier — jamais de fichier JSON de credentials commité, quel que soit son nom.</w:t>
      </w:r>
    </w:p>
    <w:p>
      <w:pPr>
        <w:keepNext/>
        <w:spacing w:before="400" w:after="200"/>
        <w:pBdr>
          <w:bottom w:val="single" w:sz="18" w:space="4" w:color="D42A45"/>
        </w:pBdr>
      </w:pPr>
      <w:r>
        <w:rPr>
          <w:b/>
          <w:color w:val="F2405A"/>
          <w:sz w:val="36"/>
        </w:rPr>
        <w:t>15. Tests automatisés</w:t>
      </w:r>
    </w:p>
    <w:p>
      <w:r>
        <w:rPr>
          <w:b w:val="0"/>
          <w:i w:val="0"/>
        </w:rPr>
        <w:t>234 tests pytest, sans dépendance réseau ni données réelles : le client Gemini et le client Google Sheets (gspread)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Gemini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62</w:t>
            </w:r>
          </w:p>
        </w:tc>
        <w:tc>
          <w:tcPr>
            <w:tcW w:type="dxa" w:w="3137"/>
          </w:tcPr>
          <w:p>
            <w:r/>
            <w:r>
              <w:rPr>
                <w:sz w:val="19"/>
              </w:rPr>
              <w:t>Dates relatives, parseur par mots-clés, affinage d'intention, normalisation funnel/heatmap/scatter/days_remaining/exclude_statuses, arbitrage du type de graphique, retouches et vérification de couverture mot à mot.</w:t>
            </w:r>
          </w:p>
        </w:tc>
      </w:tr>
      <w:tr>
        <w:tc>
          <w:tcPr>
            <w:tcW w:type="dxa" w:w="3137"/>
            <w:shd w:fill="FAFAF8"/>
          </w:tcPr>
          <w:p>
            <w:r/>
            <w:r>
              <w:rPr>
                <w:sz w:val="19"/>
              </w:rPr>
              <w:t>test_data_store.py</w:t>
            </w:r>
          </w:p>
        </w:tc>
        <w:tc>
          <w:tcPr>
            <w:tcW w:type="dxa" w:w="3137"/>
            <w:shd w:fill="FAFAF8"/>
          </w:tcPr>
          <w:p>
            <w:r/>
            <w:r>
              <w:rPr>
                <w:sz w:val="19"/>
              </w:rPr>
              <w:t>26</w:t>
            </w:r>
          </w:p>
        </w:tc>
        <w:tc>
          <w:tcPr>
            <w:tcW w:type="dxa" w:w="3137"/>
            <w:shd w:fill="FAFAF8"/>
          </w:tcPr>
          <w:p>
            <w:r/>
            <w:r>
              <w:rPr>
                <w:sz w:val="19"/>
              </w:rPr>
              <w:t>Parsing et validation par ligne, littéraux NULL, attribution et réécriture des identifiants, réparation cellule par cellule sans perdre la ligne, traçabilité de chaque remplacement, résilience à une panne de lecture du Sheet.</w:t>
            </w:r>
          </w:p>
        </w:tc>
      </w:tr>
      <w:tr>
        <w:tc>
          <w:tcPr>
            <w:tcW w:type="dxa" w:w="3137"/>
          </w:tcPr>
          <w:p>
            <w:r/>
            <w:r>
              <w:rPr>
                <w:sz w:val="19"/>
              </w:rPr>
              <w:t>test_dac_composer.py</w:t>
            </w:r>
          </w:p>
        </w:tc>
        <w:tc>
          <w:tcPr>
            <w:tcW w:type="dxa" w:w="3137"/>
          </w:tcPr>
          <w:p>
            <w:r/>
            <w:r>
              <w:rPr>
                <w:sz w:val="19"/>
              </w:rPr>
              <w:t>40</w:t>
            </w:r>
          </w:p>
        </w:tc>
        <w:tc>
          <w:tcPr>
            <w:tcW w:type="dxa" w:w="3137"/>
          </w:tcPr>
          <w:p>
            <w:r/>
            <w:r>
              <w:rPr>
                <w:sz w:val="19"/>
              </w:rPr>
              <w:t>Génération SQL (échappement des apostrophes, refus d'injection), composition multi-widgets, filtres propagés à tous les widgets, grille 12 colonnes respectée, exclusion des affaires perdues, nom du dashboard de travail constant, YAML valide et relisible.</w:t>
            </w:r>
          </w:p>
        </w:tc>
      </w:tr>
      <w:tr>
        <w:tc>
          <w:tcPr>
            <w:tcW w:type="dxa" w:w="3137"/>
            <w:shd w:fill="FAFAF8"/>
          </w:tcPr>
          <w:p>
            <w:r/>
            <w:r>
              <w:rPr>
                <w:sz w:val="19"/>
              </w:rPr>
              <w:t>test_db_layer.py</w:t>
            </w:r>
          </w:p>
        </w:tc>
        <w:tc>
          <w:tcPr>
            <w:tcW w:type="dxa" w:w="3137"/>
            <w:shd w:fill="FAFAF8"/>
          </w:tcPr>
          <w:p>
            <w:r/>
            <w:r>
              <w:rPr>
                <w:sz w:val="19"/>
              </w:rPr>
              <w:t>22</w:t>
            </w:r>
          </w:p>
        </w:tc>
        <w:tc>
          <w:tcPr>
            <w:tcW w:type="dxa" w:w="3137"/>
            <w:shd w:fill="FAFAF8"/>
          </w:tcPr>
          <w:p>
            <w:r/>
            <w:r>
              <w:rPr>
                <w:sz w:val="19"/>
              </w:rPr>
              <w:t>Requêtage pandas : groupements, filtres à valeurs multiples, intervalles, exclusion des affaires perdues et son échappatoire, chemin brut du scatter, DataFrame vide.</w:t>
            </w:r>
          </w:p>
        </w:tc>
      </w:tr>
      <w:tr>
        <w:tc>
          <w:tcPr>
            <w:tcW w:type="dxa" w:w="3137"/>
          </w:tcPr>
          <w:p>
            <w:r/>
            <w:r>
              <w:rPr>
                <w:sz w:val="19"/>
              </w:rPr>
              <w:t>test_llm_validation.py</w:t>
            </w:r>
          </w:p>
        </w:tc>
        <w:tc>
          <w:tcPr>
            <w:tcW w:type="dxa" w:w="3137"/>
          </w:tcPr>
          <w:p>
            <w:r/>
            <w:r>
              <w:rPr>
                <w:sz w:val="19"/>
              </w:rPr>
              <w:t>16</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26</w:t>
            </w:r>
          </w:p>
        </w:tc>
        <w:tc>
          <w:tcPr>
            <w:tcW w:type="dxa" w:w="3137"/>
            <w:shd w:fill="FAFAF8"/>
          </w:tcPr>
          <w:p>
            <w:r/>
            <w:r>
              <w:rPr>
                <w:sz w:val="19"/>
              </w:rPr>
              <w:t>Formatage des unités, messages texte déterministes, cohérence texte/graphique pour funnel et heatmap, description de ce qui a changé dans le tableau de bord.</w:t>
            </w:r>
          </w:p>
        </w:tc>
      </w:tr>
      <w:tr>
        <w:tc>
          <w:tcPr>
            <w:tcW w:type="dxa" w:w="3137"/>
          </w:tcPr>
          <w:p>
            <w:r/>
            <w:r>
              <w:rPr>
                <w:sz w:val="19"/>
              </w:rPr>
              <w:t>test_hot_deals.py</w:t>
            </w:r>
          </w:p>
        </w:tc>
        <w:tc>
          <w:tcPr>
            <w:tcW w:type="dxa" w:w="3137"/>
          </w:tcPr>
          <w:p>
            <w:r/>
            <w:r>
              <w:rPr>
                <w:sz w:val="19"/>
              </w:rPr>
              <w:t>9</w:t>
            </w:r>
          </w:p>
        </w:tc>
        <w:tc>
          <w:tcPr>
            <w:tcW w:type="dxa" w:w="3137"/>
          </w:tcPr>
          <w:p>
            <w:r/>
            <w:r>
              <w:rPr>
                <w:sz w:val="19"/>
              </w:rPr>
              <w:t>Le critere des affaires chaudes de bout en bout : seuil inclusif, statut sans effet, ponderation absente ecartee, accord entre la definition pandas et le SQL des KPI, et NULL plutot que NaN a l export.</w:t>
            </w:r>
          </w:p>
        </w:tc>
      </w:tr>
      <w:tr>
        <w:tc>
          <w:tcPr>
            <w:tcW w:type="dxa" w:w="3137"/>
            <w:shd w:fill="FAFAF8"/>
          </w:tcPr>
          <w:p>
            <w:r/>
            <w:r>
              <w:rPr>
                <w:sz w:val="19"/>
              </w:rPr>
              <w:t>test_accueil_dashboard.py</w:t>
            </w:r>
          </w:p>
        </w:tc>
        <w:tc>
          <w:tcPr>
            <w:tcW w:type="dxa" w:w="3137"/>
            <w:shd w:fill="FAFAF8"/>
          </w:tcPr>
          <w:p>
            <w:r/>
            <w:r>
              <w:rPr>
                <w:sz w:val="19"/>
              </w:rPr>
              <w:t>11</w:t>
            </w:r>
          </w:p>
        </w:tc>
        <w:tc>
          <w:tcPr>
            <w:tcW w:type="dxa" w:w="3137"/>
            <w:shd w:fill="FAFAF8"/>
          </w:tcPr>
          <w:p>
            <w:r/>
            <w:r>
              <w:rPr>
                <w:sz w:val="19"/>
              </w:rPr>
              <w:t>SQL de la vue d'ensemble exécuté sur des lignes fabriquées : seuil des affaires chaudes inclusif, issues qui totalisent les offres remises, taux de réussite calculé sur les seules offres décidées.</w:t>
            </w:r>
          </w:p>
        </w:tc>
      </w:tr>
      <w:tr>
        <w:tc>
          <w:tcPr>
            <w:tcW w:type="dxa" w:w="3137"/>
          </w:tcPr>
          <w:p>
            <w:r/>
            <w:r>
              <w:rPr>
                <w:sz w:val="19"/>
              </w:rPr>
              <w:t>test_palette.py</w:t>
            </w:r>
          </w:p>
        </w:tc>
        <w:tc>
          <w:tcPr>
            <w:tcW w:type="dxa" w:w="3137"/>
          </w:tcPr>
          <w:p>
            <w:r/>
            <w:r>
              <w:rPr>
                <w:sz w:val="19"/>
              </w:rPr>
              <w:t>3</w:t>
            </w:r>
          </w:p>
        </w:tc>
        <w:tc>
          <w:tcPr>
            <w:tcW w:type="dxa" w:w="3137"/>
          </w:tcPr>
          <w:p>
            <w:r/>
            <w:r>
              <w:rPr>
                <w:sz w:val="19"/>
              </w:rPr>
              <w:t>La palette de graphiques vit dans deux fichiers qui doivent rester identiques ; chaque teinte atteint 3:1 avec la surface ; aucune n est employee deux fois.</w:t>
            </w:r>
          </w:p>
        </w:tc>
      </w:tr>
      <w:tr>
        <w:tc>
          <w:tcPr>
            <w:tcW w:type="dxa" w:w="3137"/>
            <w:shd w:fill="FAFAF8"/>
          </w:tcPr>
          <w:p>
            <w:r/>
            <w:r>
              <w:rPr>
                <w:sz w:val="19"/>
              </w:rPr>
              <w:t>test_frontend_proxy.py</w:t>
            </w:r>
          </w:p>
        </w:tc>
        <w:tc>
          <w:tcPr>
            <w:tcW w:type="dxa" w:w="3137"/>
            <w:shd w:fill="FAFAF8"/>
          </w:tcPr>
          <w:p>
            <w:r/>
            <w:r>
              <w:rPr>
                <w:sz w:val="19"/>
              </w:rPr>
              <w:t>3</w:t>
            </w:r>
          </w:p>
        </w:tc>
        <w:tc>
          <w:tcPr>
            <w:tcW w:type="dxa" w:w="3137"/>
            <w:shd w:fill="FAFAF8"/>
          </w:tcPr>
          <w:p>
            <w:r/>
            <w:r>
              <w:rPr>
                <w:sz w:val="19"/>
              </w:rPr>
              <w:t>Les appels de src/api.js, les prefixes du proxy Vite et les routes de main.py doivent rester d accord ; le montage statique reste declare en dernier.</w:t>
            </w:r>
          </w:p>
        </w:tc>
      </w:tr>
      <w:tr>
        <w:tc>
          <w:tcPr>
            <w:tcW w:type="dxa" w:w="3137"/>
          </w:tcPr>
          <w:p>
            <w:r/>
            <w:r>
              <w:rPr>
                <w:sz w:val="19"/>
              </w:rPr>
              <w:t>test_alerts.py</w:t>
            </w:r>
          </w:p>
        </w:tc>
        <w:tc>
          <w:tcPr>
            <w:tcW w:type="dxa" w:w="3137"/>
          </w:tcPr>
          <w:p>
            <w:r/>
            <w:r>
              <w:rPr>
                <w:sz w:val="19"/>
              </w:rPr>
              <w:t>12</w:t>
            </w:r>
          </w:p>
        </w:tc>
        <w:tc>
          <w:tcPr>
            <w:tcW w:type="dxa" w:w="3137"/>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16.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~360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17. Limites connues</w:t>
      </w:r>
    </w:p>
    <w:p>
      <w:pPr>
        <w:pStyle w:val="ListBullet"/>
      </w:pPr>
      <w:r>
        <w:t>Google Gemini (fournisseur actuel depuis la migration forcée, section 2.2) supporte en fait les sorties structurées strictes (vérifié empiriquement), mais l'app garde volontairement l'architecture JSON libre héritée de Groq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Le mode sombre ne s'applique pas à la zone tableau de bord. L'identité Devoteam, elle, y est appliquée par un thème dédié (couleurs et palette de graphiques reprises de l'application), mais ce thème est un paramètre du serveur de tableaux de bord, fixé à son lancement : il ne peut donc pas suivre le bouton clair/sombre du navigateur, qui ne concerne que le chat.</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(~360 lignes toutes les 15 minutes), à reconsidérer si le Sheet grossissait beaucoup.</w:t>
      </w:r>
    </w:p>
    <w:p>
      <w:pPr>
        <w:pStyle w:val="ListBullet"/>
      </w:pPr>
      <w:r>
        <w:t>Les retouches appliquées par le code ne couvrent pas les valeurs dynamiques : « en camembert » ou « par practice » sont traités sans appel au modèle, mais « et pour le Maroc ? » repart par le chemin complet, la liste des pays venant des données. Délibéré — mieux vaut un appel de plus qu'un filtre pays silencieusement ignoré (section 9.4).</w:t>
      </w:r>
    </w:p>
    <w:p>
      <w:pPr>
        <w:pStyle w:val="ListBullet"/>
      </w:pPr>
      <w:r>
        <w:t>Le tableau de bord de travail est un fichier unique côté serveur : deux personnes utilisant l'application en même temps réécriraient le même. Sans effet en usage local mono-utilisateur, bloquant pour un déploiement multi-utilisateurs — qui demanderait de toute façon une authentification.</w:t>
      </w:r>
    </w:p>
    <w:p>
      <w:pPr>
        <w:pStyle w:val="ListBullet"/>
      </w:pPr>
      <w:r>
        <w:t>Le mot « urgentes » seul ne pose aucun filtre de délai : il faut « urgentes (&lt; 7 jours) » pour borner l'échéance. Comportement volontaire — ne rien deviner — mais qui surprend au premier essai.</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