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Les deux modes d'exécution</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(28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170,0 M DT additionnait 66,1 M DT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DT,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une affaire qu'on va PROBABLEMENT gagner et qui n'est PAS ENCORE gagnée : statut « Offre remise », OU probabilité de gain dans [80 %, 100 %[. Une réunion, pas une intersection — l'un des deux critères suffit. La borne haute est exclue parce que 100 % n'est pas une prévision dans ces données mais un constat : les 88 lignes à 1,0 sont toutes « Offre gagnée » ou « Offre signée ». Le portefeuille chaud compte ainsi 9 opportunités — celles qu'il reste à aller chercher. Les offres perdues en sortent d'elles-mêmes sans qu'aucun filtre soit nécessaire : ni leur statut ni leur pondération, vide dans le Sheet, ne les retiennent.</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pPr>
        <w:spacing w:before="40"/>
      </w:pPr>
      <w:r>
        <w:rPr>
          <w:i/>
          <w:color w:val="52514E"/>
          <w:sz w:val="19"/>
        </w:rPr>
        <w:t>Les montants sont en dinars, et DAC ne sait pas l'ecrire a cote du nombre : son schema refuse suffix, unit et prefix sur une valeur, et son format currency applique le prefixe $ de son formateur d3 — soit des dollars affiches la ou il s'agit de dinars. L'unite vit donc sur les LIBELLES (nom de KPI, titre d'axe, en-tete de colonne), ou elle se lit tout aussi bien sans empecher le nombre de rester triable et aligne a droite.</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des affaires chaudes compterait les 170 lignes sans pondération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337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29</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11</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Les deux modes d'exécution</w:t>
      </w:r>
    </w:p>
    <w:p>
      <w:r>
        <w:rPr>
          <w:b w:val="0"/>
          <w:i w:val="0"/>
        </w:rPr>
        <w:t>L'application se lance de deux façons, et se tromper est silencieux. Un raccourci de Bureau existe pour chacune (scripts/create_shortcut.ps1 les crée toutes les deux).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r>
          </w:p>
        </w:tc>
        <w:tc>
          <w:tcPr>
            <w:tcW w:type="dxa" w:w="3137"/>
            <w:shd w:fill="F2405A"/>
          </w:tcPr>
          <w:p>
            <w:r/>
            <w:r>
              <w:rPr>
                <w:b/>
                <w:color w:val="FFFFFF"/>
                <w:sz w:val="19"/>
              </w:rPr>
              <w:t>Développement</w:t>
            </w:r>
          </w:p>
        </w:tc>
        <w:tc>
          <w:tcPr>
            <w:tcW w:type="dxa" w:w="3137"/>
            <w:shd w:fill="F2405A"/>
          </w:tcPr>
          <w:p>
            <w:r/>
            <w:r>
              <w:rPr>
                <w:b/>
                <w:color w:val="FFFFFF"/>
                <w:sz w:val="19"/>
              </w:rPr>
              <w:t>Production</w:t>
            </w:r>
          </w:p>
        </w:tc>
      </w:tr>
      <w:tr>
        <w:tc>
          <w:tcPr>
            <w:tcW w:type="dxa" w:w="3137"/>
          </w:tcPr>
          <w:p>
            <w:r/>
            <w:r>
              <w:rPr>
                <w:sz w:val="19"/>
              </w:rPr>
              <w:t>Lanceur</w:t>
            </w:r>
          </w:p>
        </w:tc>
        <w:tc>
          <w:tcPr>
            <w:tcW w:type="dxa" w:w="3137"/>
          </w:tcPr>
          <w:p>
            <w:r/>
            <w:r>
              <w:rPr>
                <w:sz w:val="19"/>
              </w:rPr>
              <w:t>scripts/start_dev.bat</w:t>
            </w:r>
          </w:p>
        </w:tc>
        <w:tc>
          <w:tcPr>
            <w:tcW w:type="dxa" w:w="3137"/>
          </w:tcPr>
          <w:p>
            <w:r/>
            <w:r>
              <w:rPr>
                <w:sz w:val="19"/>
              </w:rPr>
              <w:t>scripts/start_prod.bat</w:t>
            </w:r>
          </w:p>
        </w:tc>
      </w:tr>
      <w:tr>
        <w:tc>
          <w:tcPr>
            <w:tcW w:type="dxa" w:w="3137"/>
            <w:shd w:fill="FAFAF8"/>
          </w:tcPr>
          <w:p>
            <w:r/>
            <w:r>
              <w:rPr>
                <w:sz w:val="19"/>
              </w:rPr>
              <w:t>Processus</w:t>
            </w:r>
          </w:p>
        </w:tc>
        <w:tc>
          <w:tcPr>
            <w:tcW w:type="dxa" w:w="3137"/>
            <w:shd w:fill="FAFAF8"/>
          </w:tcPr>
          <w:p>
            <w:r/>
            <w:r>
              <w:rPr>
                <w:sz w:val="19"/>
              </w:rPr>
              <w:t>3 (API, DAC, Vite)</w:t>
            </w:r>
          </w:p>
        </w:tc>
        <w:tc>
          <w:tcPr>
            <w:tcW w:type="dxa" w:w="3137"/>
            <w:shd w:fill="FAFAF8"/>
          </w:tcPr>
          <w:p>
            <w:r/>
            <w:r>
              <w:rPr>
                <w:sz w:val="19"/>
              </w:rPr>
              <w:t>2 (API + interface, DAC)</w:t>
            </w:r>
          </w:p>
        </w:tc>
      </w:tr>
      <w:tr>
        <w:tc>
          <w:tcPr>
            <w:tcW w:type="dxa" w:w="3137"/>
          </w:tcPr>
          <w:p>
            <w:r/>
            <w:r>
              <w:rPr>
                <w:sz w:val="19"/>
              </w:rPr>
              <w:t>Frontend</w:t>
            </w:r>
          </w:p>
        </w:tc>
        <w:tc>
          <w:tcPr>
            <w:tcW w:type="dxa" w:w="3137"/>
          </w:tcPr>
          <w:p>
            <w:r/>
            <w:r>
              <w:rPr>
                <w:sz w:val="19"/>
              </w:rPr>
              <w:t>servi par Vite, port 5173</w:t>
            </w:r>
          </w:p>
        </w:tc>
        <w:tc>
          <w:tcPr>
            <w:tcW w:type="dxa" w:w="3137"/>
          </w:tcPr>
          <w:p>
            <w:r/>
            <w:r>
              <w:rPr>
                <w:sz w:val="19"/>
              </w:rPr>
              <w:t>compilé, servi par le backend</w:t>
            </w:r>
          </w:p>
        </w:tc>
      </w:tr>
      <w:tr>
        <w:tc>
          <w:tcPr>
            <w:tcW w:type="dxa" w:w="3137"/>
            <w:shd w:fill="FAFAF8"/>
          </w:tcPr>
          <w:p>
            <w:r/>
            <w:r>
              <w:rPr>
                <w:sz w:val="19"/>
              </w:rPr>
              <w:t>Adresse</w:t>
            </w:r>
          </w:p>
        </w:tc>
        <w:tc>
          <w:tcPr>
            <w:tcW w:type="dxa" w:w="3137"/>
            <w:shd w:fill="FAFAF8"/>
          </w:tcPr>
          <w:p>
            <w:r/>
            <w:r>
              <w:rPr>
                <w:sz w:val="19"/>
              </w:rPr>
              <w:t>http://localhost:5173</w:t>
            </w:r>
          </w:p>
        </w:tc>
        <w:tc>
          <w:tcPr>
            <w:tcW w:type="dxa" w:w="3137"/>
            <w:shd w:fill="FAFAF8"/>
          </w:tcPr>
          <w:p>
            <w:r/>
            <w:r>
              <w:rPr>
                <w:sz w:val="19"/>
              </w:rPr>
              <w:t>http://127.0.0.1:8000</w:t>
            </w:r>
          </w:p>
        </w:tc>
      </w:tr>
      <w:tr>
        <w:tc>
          <w:tcPr>
            <w:tcW w:type="dxa" w:w="3137"/>
          </w:tcPr>
          <w:p>
            <w:r/>
            <w:r>
              <w:rPr>
                <w:sz w:val="19"/>
              </w:rPr>
              <w:t>Rechargement à chaud</w:t>
            </w:r>
          </w:p>
        </w:tc>
        <w:tc>
          <w:tcPr>
            <w:tcW w:type="dxa" w:w="3137"/>
          </w:tcPr>
          <w:p>
            <w:r/>
            <w:r>
              <w:rPr>
                <w:sz w:val="19"/>
              </w:rPr>
              <w:t>oui (--reload)</w:t>
            </w:r>
          </w:p>
        </w:tc>
        <w:tc>
          <w:tcPr>
            <w:tcW w:type="dxa" w:w="3137"/>
          </w:tcPr>
          <w:p>
            <w:r/>
            <w:r>
              <w:rPr>
                <w:sz w:val="19"/>
              </w:rPr>
              <w:t>non</w:t>
            </w:r>
          </w:p>
        </w:tc>
      </w:tr>
      <w:tr>
        <w:tc>
          <w:tcPr>
            <w:tcW w:type="dxa" w:w="3137"/>
            <w:shd w:fill="FAFAF8"/>
          </w:tcPr>
          <w:p>
            <w:r/>
            <w:r>
              <w:rPr>
                <w:sz w:val="19"/>
              </w:rPr>
              <w:t>Workers uvicorn</w:t>
            </w:r>
          </w:p>
        </w:tc>
        <w:tc>
          <w:tcPr>
            <w:tcW w:type="dxa" w:w="3137"/>
            <w:shd w:fill="FAFAF8"/>
          </w:tcPr>
          <w:p>
            <w:r/>
            <w:r>
              <w:rPr>
                <w:sz w:val="19"/>
              </w:rPr>
              <w:t>1</w:t>
            </w:r>
          </w:p>
        </w:tc>
        <w:tc>
          <w:tcPr>
            <w:tcW w:type="dxa" w:w="3137"/>
            <w:shd w:fill="FAFAF8"/>
          </w:tcPr>
          <w:p>
            <w:r/>
            <w:r>
              <w:rPr>
                <w:sz w:val="19"/>
              </w:rPr>
              <w:t>1 (imposé)</w:t>
            </w:r>
          </w:p>
        </w:tc>
      </w:tr>
    </w:tbl>
    <w:p/>
    <w:p>
      <w:r>
        <w:rPr>
          <w:b w:val="0"/>
          <w:i w:val="0"/>
        </w:rPr>
        <w:t>Trois différences méritent leur justification. Le rechargement à chaud surveille l'arborescence — que l'application modifie elle-même, puisque chaque question réécrit dac/dashboards/_principal.yml : en production, le serveur se redémarrerait à chaque réponse qu'il vient de produire. Le frontend doit être compilé AVANT le démarrage, car le backend sert frontend/dist tel qu'il le trouve : partir sur une compilation périmée afficherait l'ancienne interface sans le moindre signe, et le script s'arrête donc si npm run build échoue. Enfin un seul worker, parce que le jeu de données vit en mémoire dans le processus et qu'un planificateur y tourne : plusieurs workers garderaient chacun leur copie des données ET relanceraient le planificateur — emails d'alerte en double, écritures concurrentes dans le Google Sheet.</w:t>
      </w:r>
    </w:p>
    <w:p>
      <w:pPr>
        <w:spacing w:before="40"/>
      </w:pPr>
      <w:r>
        <w:rPr>
          <w:i/>
          <w:color w:val="52514E"/>
          <w:sz w:val="19"/>
        </w:rPr>
        <w:t>tests/test_lanceurs.py confronte les deux scripts : ils ne peuvent pas dériver l'un vers l'autre sans faire échouer les tests.</w:t>
      </w:r>
    </w:p>
    <w:p>
      <w:pPr>
        <w:keepNext/>
        <w:spacing w:before="400" w:after="200"/>
        <w:pBdr>
          <w:bottom w:val="single" w:sz="18" w:space="4" w:color="D42A45"/>
        </w:pBdr>
      </w:pPr>
      <w:r>
        <w:rPr>
          <w:b/>
          <w:color w:val="F2405A"/>
          <w:sz w:val="36"/>
        </w:rPr>
        <w:t>18.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