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tableau de détail des affaires chaudes est le SEUL bloc du tableau de bord rendu par l'application et non par Bruin DAC. Le tableau de DAC ne défile pas verticalement : son élément externe est un simple overflow-x-auto, sans hauteur ni overflow-y, à l'intérieur d'un cadre h-full overflow-hidden. Borner la hauteur de la ligne le CLIPPE donc au lieu de le rendre défilable, et aucun réglage n'existe — le schéma refuse height sur un widget, le thème refuse le CSS, et le TSX partage le même modèle que le YAML.</w:t>
      </w:r>
    </w:p>
    <w:p>
      <w:pPr>
        <w:spacing w:before="40"/>
      </w:pPr>
      <w:r>
        <w:rPr>
          <w:i/>
          <w:color w:val="52514E"/>
          <w:sz w:val="19"/>
        </w:rPr>
        <w:t>Sortir ce seul tableau de l'iframe était la seule façon d'obtenir la molette sans amputer la liste. Contrepartie assumée et écrite dans son en-tête : il ne peut pas suivre le filtre de période du dashboard, qui vit dans l'iframe et lui est inaccessible. Il montre donc toujours l'ensemble. Un filtre silencieusement ignoré serait un piège ; annoncé, c'est une portée.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passerait de 105 à 275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227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8</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8</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test_frontend_proxy.py</w:t>
            </w:r>
          </w:p>
        </w:tc>
        <w:tc>
          <w:tcPr>
            <w:tcW w:type="dxa" w:w="3137"/>
          </w:tcPr>
          <w:p>
            <w:r/>
            <w:r>
              <w:rPr>
                <w:sz w:val="19"/>
              </w:rPr>
              <w:t>3</w:t>
            </w:r>
          </w:p>
        </w:tc>
        <w:tc>
          <w:tcPr>
            <w:tcW w:type="dxa" w:w="3137"/>
          </w:tcPr>
          <w:p>
            <w:r/>
            <w:r>
              <w:rPr>
                <w:sz w:val="19"/>
              </w:rPr>
              <w:t>Les appels de src/api.js, les prefixes du proxy Vite et les routes de main.py doivent rester d accord ; le montage statique reste declare en dernier.</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