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toute opportunité dont la probabilité de gain atteint 80 %. UN SEUL critère : le statut n'entre pas en compte. Le portefeuille compte ainsi 105 opportunités et 51,3 M€ sur l'ensemble de l'historique. Les offres perdues en sortent d'elles-mêmes sans qu'aucun filtre soit nécessaire — leur pondération est vide dans le Sheet, et une comparaison avec une valeur absente est toujours fausse.</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passerait de 105 à 275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238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