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227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8</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test_frontend_proxy.py</w:t>
            </w:r>
          </w:p>
        </w:tc>
        <w:tc>
          <w:tcPr>
            <w:tcW w:type="dxa" w:w="3137"/>
          </w:tcPr>
          <w:p>
            <w:r/>
            <w:r>
              <w:rPr>
                <w:sz w:val="19"/>
              </w:rPr>
              <w:t>3</w:t>
            </w:r>
          </w:p>
        </w:tc>
        <w:tc>
          <w:tcPr>
            <w:tcW w:type="dxa" w:w="3137"/>
          </w:tcPr>
          <w:p>
            <w:r/>
            <w:r>
              <w:rPr>
                <w:sz w:val="19"/>
              </w:rPr>
              <w:t>Les appels de src/api.js, les prefixes du proxy Vite et les routes de main.py doivent rester d accord ; le montage statique reste declare en dernier.</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