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Gemini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c>
          <w:tcPr>
            <w:tcW w:type="dxa" w:w="4706"/>
          </w:tcPr>
          <w:p>
            <w:r/>
            <w:r>
              <w:rPr>
                <w:sz w:val="19"/>
              </w:rPr>
              <w:t>backend/llm.py</w:t>
            </w:r>
          </w:p>
        </w:tc>
        <w:tc>
          <w:tcPr>
            <w:tcW w:type="dxa" w:w="4706"/>
          </w:tcPr>
          <w:p>
            <w:r/>
            <w:r>
              <w:rPr>
                <w:sz w:val="19"/>
              </w:rPr>
              <w:t>Appel LLM, validation Pydantic, résolution des filtres, anti-hallucination.</w:t>
            </w:r>
          </w:p>
        </w:tc>
      </w:tr>
      <w:t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c>
          <w:tcPr>
            <w:tcW w:type="dxa" w:w="4706"/>
          </w:tcPr>
          <w:p>
            <w:r/>
            <w:r>
              <w:rPr>
                <w:sz w:val="19"/>
              </w:rPr>
              <w:t>backend/db_layer.py</w:t>
            </w:r>
          </w:p>
        </w:tc>
        <w:tc>
          <w:tcPr>
            <w:tcW w:type="dxa" w:w="4706"/>
          </w:tcPr>
          <w:p>
            <w:r/>
            <w:r>
              <w:rPr>
                <w:sz w:val="19"/>
              </w:rPr>
              <w:t>Requêtage pandas du DataFrame (données du message texte).</w:t>
            </w:r>
          </w:p>
        </w:tc>
      </w:tr>
      <w:t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c>
          <w:tcPr>
            <w:tcW w:type="dxa" w:w="4706"/>
          </w:tcPr>
          <w:p>
            <w:r/>
            <w:r>
              <w:rPr>
                <w:sz w:val="19"/>
              </w:rPr>
              <w:t>backend/sql_builder.py</w:t>
            </w:r>
          </w:p>
        </w:tc>
        <w:tc>
          <w:tcPr>
            <w:tcW w:type="dxa" w:w="4706"/>
          </w:tcPr>
          <w:p>
            <w:r/>
            <w:r>
              <w:rPr>
                <w:sz w:val="19"/>
              </w:rPr>
              <w:t>Intention validée -&gt; SQL DuckDB. Jamais écrit par le LLM.</w:t>
            </w:r>
          </w:p>
        </w:tc>
      </w:tr>
      <w:t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c>
          <w:tcPr>
            <w:tcW w:type="dxa" w:w="4706"/>
          </w:tcPr>
          <w:p>
            <w:r/>
            <w:r>
              <w:rPr>
                <w:sz w:val="19"/>
              </w:rPr>
              <w:t>backend/duckdb_export.py</w:t>
            </w:r>
          </w:p>
        </w:tc>
        <w:tc>
          <w:tcPr>
            <w:tcW w:type="dxa" w:w="4706"/>
          </w:tcPr>
          <w:p>
            <w:r/>
            <w:r>
              <w:rPr>
                <w:sz w:val="19"/>
              </w:rPr>
              <w:t>Projection du DataFrame vers le fichier DuckDB interrogé par DAC.</w:t>
            </w:r>
          </w:p>
        </w:tc>
      </w:tr>
      <w:t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c>
          <w:tcPr>
            <w:tcW w:type="dxa" w:w="4706"/>
          </w:tcPr>
          <w:p>
            <w:r/>
            <w:r>
              <w:rPr>
                <w:sz w:val="19"/>
              </w:rPr>
              <w:t>backend/alerts.py</w:t>
            </w:r>
          </w:p>
        </w:tc>
        <w:tc>
          <w:tcPr>
            <w:tcW w:type="dxa" w:w="4706"/>
          </w:tcPr>
          <w:p>
            <w:r/>
            <w:r>
              <w:rPr>
                <w:sz w:val="19"/>
              </w:rPr>
              <w:t>Opportunités à échéance proche, envoi de l'email d'alerte.</w:t>
            </w:r>
          </w:p>
        </w:tc>
      </w:tr>
      <w:t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c>
          <w:tcPr>
            <w:tcW w:type="dxa" w:w="4706"/>
          </w:tcPr>
          <w:p>
            <w:r/>
            <w:r>
              <w:rPr>
                <w:sz w:val="19"/>
              </w:rPr>
              <w:t>backend/data_quality.py</w:t>
            </w:r>
          </w:p>
        </w:tc>
        <w:tc>
          <w:tcPr>
            <w:tcW w:type="dxa" w:w="4706"/>
          </w:tcPr>
          <w:p>
            <w:r/>
            <w:r>
              <w:rPr>
                <w:sz w:val="19"/>
              </w:rPr>
              <w:t>Rapport des lignes rejetées et des valeurs manquantes.</w:t>
            </w:r>
          </w:p>
        </w:tc>
      </w:tr>
      <w:t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c>
          <w:tcPr>
            <w:tcW w:type="dxa" w:w="4706"/>
          </w:tcPr>
          <w:p>
            <w:r/>
            <w:r>
              <w:rPr>
                <w:sz w:val="19"/>
              </w:rPr>
              <w:t>dac/dashboards/accueil.yml</w:t>
            </w:r>
          </w:p>
        </w:tc>
        <w:tc>
          <w:tcPr>
            <w:tcW w:type="dxa" w:w="4706"/>
          </w:tcPr>
          <w:p>
            <w:r/>
            <w:r>
              <w:rPr>
                <w:sz w:val="19"/>
              </w:rPr>
              <w:t>Vue d'ensemble (24 widgets), produite par scripts/generate_accueil.py, versionnée et relue en revue.</w:t>
            </w:r>
          </w:p>
        </w:tc>
      </w:tr>
      <w:t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c>
          <w:tcPr>
            <w:tcW w:type="dxa" w:w="4706"/>
          </w:tcPr>
          <w:p>
            <w:r/>
            <w:r>
              <w:rPr>
                <w:sz w:val="19"/>
              </w:rPr>
              <w:t>dac/dashboards/_analyse_*.yml</w:t>
            </w:r>
          </w:p>
        </w:tc>
        <w:tc>
          <w:tcPr>
            <w:tcW w:type="dxa" w:w="4706"/>
          </w:tcPr>
          <w:p>
            <w:r/>
            <w:r>
              <w:rPr>
                <w:sz w:val="19"/>
              </w:rPr>
              <w:t>Instantané figé par question, pour les rouvrir (éphémère, hors suivi git).</w:t>
            </w:r>
          </w:p>
        </w:tc>
      </w:tr>
      <w:tr>
        <w:tc>
          <w:tcPr>
            <w:tcW w:type="dxa" w:w="4706"/>
            <w:shd w:fill="FAFAF8"/>
          </w:tcPr>
          <w:p>
            <w:r/>
            <w:r>
              <w:rPr>
                <w:sz w:val="19"/>
              </w:rPr>
              <w:t>frontend/src/</w:t>
            </w:r>
          </w:p>
        </w:tc>
        <w:tc>
          <w:tcPr>
            <w:tcW w:type="dxa" w:w="4706"/>
            <w:shd w:fill="FAFAF8"/>
          </w:tcPr>
          <w:p>
            <w:r/>
            <w:r>
              <w:rPr>
                <w:sz w:val="19"/>
              </w:rPr>
              <w:t>Application Vite + React (chat, iframe DAC, hooks, styles).</w:t>
            </w:r>
          </w:p>
        </w:tc>
      </w:tr>
      <w:tr>
        <w:tc>
          <w:tcPr>
            <w:tcW w:type="dxa" w:w="4706"/>
          </w:tcPr>
          <w:p>
            <w:r/>
            <w:r>
              <w:rPr>
                <w:sz w:val="19"/>
              </w:rPr>
              <w:t>tests/</w:t>
            </w:r>
          </w:p>
        </w:tc>
        <w:tc>
          <w:tcPr>
            <w:tcW w:type="dxa" w:w="4706"/>
          </w:tcPr>
          <w:p>
            <w:r/>
            <w:r>
              <w:rPr>
                <w:sz w:val="19"/>
              </w:rPr>
              <w:t>Suite pytest — 152 tests, aucune dépendance réseau ni données réelles.</w:t>
            </w:r>
          </w:p>
        </w:tc>
      </w:tr>
      <w:t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c>
          <w:tcPr>
            <w:tcW w:type="dxa" w:w="4706"/>
          </w:tcPr>
          <w:p>
            <w:r/>
            <w:r>
              <w:rPr>
                <w:sz w:val="19"/>
              </w:rPr>
              <w:t>Documentation/reports/</w:t>
            </w:r>
          </w:p>
        </w:tc>
        <w:tc>
          <w:tcPr>
            <w:tcW w:type="dxa" w:w="4706"/>
          </w:tcPr>
          <w:p>
            <w:r/>
            <w:r>
              <w:rPr>
                <w:sz w:val="19"/>
              </w:rPr>
              <w:t>Ce guide, le rapport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via l'API Google (gspread),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cellule illisible coûte la CELLULE, jamais la ligne : elle est remplacée par « Non renseigné » et l'opportunité est conservée avec son budget, son échéance et son client.</w:t>
      </w:r>
    </w:p>
    <w:p>
      <w:pPr>
        <w:spacing w:before="40"/>
      </w:pPr>
      <w:r>
        <w:rPr>
          <w:i/>
          <w:color w:val="52514E"/>
          <w:sz w:val="19"/>
        </w:rPr>
        <w:t>Le rejet de la ligne entière était le choix initial, et il était trop cher : une opportunité complète disparaissait des totaux à cause d'un statut mal tapé. « Non renseigné » n'invente rien — il DIT que la donnée manque, reste visible comme catégorie à part dans les graphiques, et se filtre comme n'importe quelle autre valeur.</w:t>
      </w:r>
    </w:p>
    <w:p>
      <w:r>
        <w:rPr>
          <w:b w:val="0"/>
          <w:i w:val="0"/>
        </w:rPr>
        <w:t>La contrepartie est non négociable : réparer sans tracer reviendrait à corrompre les données en silence, exactement ce que le rejet servait à éviter. Chaque remplacement est recensé avec son numéro de ligne, sa colonne et sa valeur d'origine, exposé par GET /data/quality et par le tableau de bord « Qualité des données » — qui porte un compteur « Lignes écartées malgré tout » devant rester à zéro.</w:t>
      </w:r>
    </w:p>
    <w:p>
      <w:r>
        <w:rPr>
          <w:b w:val="0"/>
          <w:i w:val="0"/>
        </w:rPr>
        <w:t>Cas particulier de l'échéance : tous les champs dérivés en dépendent (deadline_month, deadline_year, days_remaining). Sans elle ils restent vides, et la ligne sort naturellement des analyses temporelles et du filtre « urgentes » sans cesser de compter dans les totaux — ce qui est précisément le but de la conserver.</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 Onze d'entre elles relevaient d'une décision métier (deux statuts légitimes à ajouter à la liste blanche) ; les quatre dernières portaient un type d'opportunité dans la colonne statut. Aucune n'est plus perdue aujourd'hui.</w:t>
      </w:r>
    </w:p>
    <w:p>
      <w:pPr>
        <w:keepNext/>
        <w:spacing w:before="280" w:after="120"/>
      </w:pPr>
      <w:r>
        <w:rPr>
          <w:b/>
          <w:color w:val="242422"/>
          <w:sz w:val="27"/>
        </w:rPr>
        <w:t>4.3 Écriture retour dans le Sheet</w:t>
      </w:r>
    </w:p>
    <w:p>
      <w:r>
        <w:rPr>
          <w:b w:val="0"/>
          <w:i w:val="0"/>
        </w:rPr>
        <w:t>Le module écrit dans le Sheet deux choses seulement : l'identifiant des nouvelles lignes, et les quatre colonnes calculées — pour que l'utilisateur voie le résultat sans ouvrir l'application. Toutes ces cellules sont envoyées en un SEUL appel groupé : sur ~360 lignes × 4 colonnes, un appel par cellule représenterait plus d'un millier d'allers-retours réseau.</w:t>
      </w:r>
    </w:p>
    <w:p>
      <w:r>
        <w:rPr>
          <w:b w:val="0"/>
          <w:i w:val="0"/>
        </w:rPr>
        <w:t>Volontairement, aucune suppression :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Gemini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Widget</w:t>
            </w:r>
          </w:p>
        </w:tc>
        <w:tc>
          <w:tcPr>
            <w:tcW w:type="dxa" w:w="4706"/>
            <w:shd w:fill="F2405A"/>
          </w:tcPr>
          <w:p>
            <w:r/>
            <w:r>
              <w:rPr>
                <w:b/>
                <w:color w:val="FFFFFF"/>
                <w:sz w:val="19"/>
              </w:rPr>
              <w:t>Rôle</w:t>
            </w:r>
          </w:p>
        </w:tc>
      </w:tr>
      <w:t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c>
          <w:tcPr>
            <w:tcW w:type="dxa" w:w="4706"/>
            <w:shd w:fill="FAFAF8"/>
          </w:tcPr>
          <w:p>
            <w:r/>
            <w:r>
              <w:rPr>
                <w:sz w:val="19"/>
              </w:rPr>
              <w:t>Graphique principal</w:t>
            </w:r>
          </w:p>
        </w:tc>
        <w:tc>
          <w:tcPr>
            <w:tcW w:type="dxa" w:w="4706"/>
            <w:shd w:fill="FAFAF8"/>
          </w:tcPr>
          <w:p>
            <w:r/>
            <w:r>
              <w:rPr>
                <w:sz w:val="19"/>
              </w:rPr>
              <w:t>Répond directement à la question posée.</w:t>
            </w:r>
          </w:p>
        </w:tc>
      </w:tr>
      <w:tr>
        <w:tc>
          <w:tcPr>
            <w:tcW w:type="dxa" w:w="4706"/>
          </w:tcPr>
          <w:p>
            <w:r/>
            <w:r>
              <w:rPr>
                <w:sz w:val="19"/>
              </w:rPr>
              <w:t>Angle complémentaire</w:t>
            </w:r>
          </w:p>
        </w:tc>
        <w:tc>
          <w:tcPr>
            <w:tcW w:type="dxa" w:w="4706"/>
          </w:tcPr>
          <w:p>
            <w:r/>
            <w:r>
              <w:rPr>
                <w:sz w:val="19"/>
              </w:rPr>
              <w:t>La même métrique sur une autre dimension.</w:t>
            </w:r>
          </w:p>
        </w:tc>
      </w:tr>
      <w:tr>
        <w:tc>
          <w:tcPr>
            <w:tcW w:type="dxa" w:w="4706"/>
            <w:shd w:fill="FAFAF8"/>
          </w:tcPr>
          <w:p>
            <w:r/>
            <w:r>
              <w:rPr>
                <w:sz w:val="19"/>
              </w:rPr>
              <w:t>Pipeline commercial</w:t>
            </w:r>
          </w:p>
        </w:tc>
        <w:tc>
          <w:tcPr>
            <w:tcW w:type="dxa" w:w="4706"/>
            <w:shd w:fill="FAFAF8"/>
          </w:tcPr>
          <w:p>
            <w:r/>
            <w:r>
              <w:rPr>
                <w:sz w:val="19"/>
              </w:rPr>
              <w:t>L'entonnoir des statuts sur ce périmètre.</w:t>
            </w:r>
          </w:p>
        </w:tc>
      </w:tr>
      <w:t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164,4 M€ additionnait 66,1 M€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r>
        <w:rPr>
          <w:b w:val="0"/>
          <w:i w:val="0"/>
        </w:rPr>
        <w:t>Ces retouches se TAPENT, elles ne se cliquent pas. Une rangée de raccourcis avait été essayée puis retirée : décrire ce que l'on veut est plus expressif qu'un choix parmi quatre, et la présence des boutons suggérait à tort que le reste ne se demandait pas.</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 Offre remise » est un terme métier, pas un statut</w:t>
      </w:r>
    </w:p>
    <w:p>
      <w:r>
        <w:rPr>
          <w:b w:val="0"/>
          <w:i w:val="0"/>
        </w:rPr>
        <w:t>Le statut décrit l'état COURANT d'une opportunité, pas son historique. Une offre partie chez le client et gagnée depuis n'est plus au statut « Offre remise » : compter ce seul statut donne 4 offres là où 57 ont réellement été déposées. Sont donc « remises » les opportunités dont le statut ATTESTE le dépôt — Offre remise, En attente du plan de charge, Offre gagnée, Offre signée, Offre perdue.</w:t>
      </w:r>
    </w:p>
    <w:p>
      <w:pPr>
        <w:spacing w:before="40"/>
      </w:pPr>
      <w:r>
        <w:rPr>
          <w:i/>
          <w:color w:val="52514E"/>
          <w:sz w:val="19"/>
        </w:rPr>
        <w:t>Trois définitions étaient défendables selon qu'on y range les appels d'offres infructueux et les candidatures non shortlistées — 57, 62 ou 67 offres, pour un taux de réussite de 53 %, 48 % ou 45 %. L'écart est trop grand pour être tranché par le code : la question a été posée au métier, qui a retenu la définition la plus stricte. Il n'existe par ailleurs aucune colonne « date de remise » : l'échéance en tient lieu, la date limite de dépôt étant, pour un appel d'offres, la date de remise.</w:t>
      </w:r>
    </w:p>
    <w:p>
      <w:r>
        <w:rPr>
          <w:b w:val="0"/>
          <w:i w:val="0"/>
        </w:rPr>
        <w:t>Filtrer sur ces statuts lève au passage l'exclusion par défaut des affaires perdues (section 9.1) — ce qui est exactement voulu : une offre perdue a bien été remise, et sans cela la question « sur le total remis, combien de perdues ? » n'aurait pas de réponse. La définition sert le dashboard ET le chat : sans règle dédiée, la même question posée dans la conversation aurait répondu 4.</w:t>
      </w:r>
    </w:p>
    <w:p>
      <w:r>
        <w:rPr>
          <w:b w:val="0"/>
          <w:i w:val="0"/>
        </w:rPr>
        <w:t>Le taux de réussite se calcule sur les offres DÉCIDÉES, pas sur le total remis : une offre en attente n'est ni un succès ni un échec, la compter au dénominateur écraserait le taux sans rien dire de vrai.</w:t>
      </w:r>
    </w:p>
    <w:p>
      <w:pPr>
        <w:keepNext/>
        <w:spacing w:before="280" w:after="120"/>
      </w:pPr>
      <w:r>
        <w:rPr>
          <w:b/>
          <w:color w:val="242422"/>
          <w:sz w:val="27"/>
        </w:rPr>
        <w:t>9.6 Affaires chaudes, et le piège du range_filter</w:t>
      </w:r>
    </w:p>
    <w:p>
      <w:r>
        <w:rPr>
          <w:b w:val="0"/>
          <w:i w:val="0"/>
        </w:rPr>
        <w:t>Une « affaire chaude » est toute opportunité dont la probabilité de gain atteint 80 %. UN SEUL critère : le statut n'entre pas en compte. Le portefeuille compte ainsi 105 opportunités et 51,3 M€ sur l'ensemble de l'historique. Les offres perdues en sortent d'elles-mêmes sans qu'aucun filtre soit nécessaire — leur pondération est vide dans le Sheet, et une comparaison avec une valeur absente est toujours fausse.</w:t>
      </w:r>
    </w:p>
    <w:p>
      <w:pPr>
        <w:spacing w:before="40"/>
      </w:pPr>
      <w:r>
        <w:rPr>
          <w:i/>
          <w:color w:val="52514E"/>
          <w:sz w:val="19"/>
        </w:rPr>
        <w:t>Ce périmètre a d'abord été restreint aux offres encore en jeu (14 affaires), puis élargi sur décision métier. La question qui l'a déclenché — « pourquoi des offres à 100 % n'apparaissent-elles pas ? » — a d'ailleurs mis au jour une convention de saisie : la pondération est une PRÉVISION tant que l'offre est ouverte (40 % ou 80 %), un CONSTAT à 100 % une fois gagnée, et vide une fois perdue. Les 88 opportunités à 100 % sont exactement les 88 déjà gagnées ou signées, sans une exception.</w:t>
      </w:r>
    </w:p>
    <w:p>
      <w:r>
        <w:rPr>
          <w:b w:val="0"/>
          <w:i w:val="0"/>
        </w:rPr>
        <w:t>L'indicateur ne mesure donc plus un pipeline à pousser mais un portefeuille à forte confiance, mêlant l'acquis et l'à-venir. Les intitulés le disent : « Budget à forte confiance » plutôt que « Budget en jeu », qui laissait entendre une affaire encore ouverte.</w:t>
      </w:r>
    </w:p>
    <w:p>
      <w:r>
        <w:rPr>
          <w:b w:val="0"/>
          <w:i w:val="0"/>
        </w:rPr>
        <w:t>Le détail occupe sa propre ligne, répartie en TROIS tables côte à côte. Le tableau de DAC ne défilant pas verticalement, sa hauteur est son nombre de lignes : la répartir en trois la divise par trois sans en retirer une seule, ce qui était la contrainte. NTILE(3) plutôt qu'un seuil de rang en dur, le total changeant avec le filtre de période — 35/35/35 sur l'historique, 19/18/18 par défaut, rangs continus et sans doublon. Le rang est affiché : trois listes triées côte à côte ne diraient pas, sinon, laquelle vient en premier.</w:t>
      </w:r>
    </w:p>
    <w:p>
      <w:pPr>
        <w:spacing w:before="40"/>
      </w:pPr>
      <w:r>
        <w:rPr>
          <w:i/>
          <w:color w:val="52514E"/>
          <w:sz w:val="19"/>
        </w:rPr>
        <w:t>Le widget tableau de Bruin DAC ne défile pas verticalement : son élément externe est un simple overflow-x-auto, sans hauteur ni overflow-y, dans un cadre overflow-hidden. Borner la hauteur de la ligne le CLIPPE au lieu de le rendre défilable, et aucun contournement n'existe — le schéma refuse height sur un widget, le thème refuse le CSS, le TSX partage le même modèle que le YAML, et le markdown d'un widget text est rendu sans rehype-raw, donc sans HTML brut. Un rendu React hors de l'iframe a été essayé puis retiré : il donnait la molette mais sortait le tableau du dashboard.</w:t>
      </w:r>
    </w:p>
    <w:p>
      <w:r>
        <w:rPr>
          <w:b w:val="0"/>
          <w:i w:val="0"/>
        </w:rPr>
        <w:t>Le tableau passant par pandas et les KPI par du SQL, un test confronte les deux définitions sur les mêmes lignes. Il a révélé un piège de DuckDB : « NaN &gt;= 0.8 » y vaut VRAI. Le vrai export écrit des NULL, donc rien n'est faux en production, mais s'il écrivait des NaN le KPI passerait de 105 à 275 sans qu'aucune requête n'échoue. Un test l'interdit désormais.</w:t>
      </w:r>
    </w:p>
    <w:p>
      <w:r>
        <w:rPr>
          <w:b w:val="0"/>
          <w:i w:val="0"/>
        </w:rPr>
        <w:t>L'application connaissait déjà le terme « offre pondérée » avec la même intention mais un périmètre plus étroit. Deux définitions divergentes pour une même réalité auraient donné deux chiffres selon le mot employé : elles sont unifiées dans business_rules.HOT_DEAL_STATUSES, partagée par le dashboard et par le chat.</w:t>
      </w:r>
    </w:p>
    <w:p>
      <w:pPr>
        <w:spacing w:before="40"/>
      </w:pPr>
      <w:r>
        <w:rPr>
          <w:i/>
          <w:color w:val="52514E"/>
          <w:sz w:val="19"/>
        </w:rPr>
        <w:t>Brancher ce terme a révélé un même défaut logé dans TROIS modules. db_layer, sql_builder et response_builder ne s'accordaient pas sur ce que signifie un range_filter : deux le traitaient comme une demande de liste brute, le troisième non. « Affaires chaudes par practice » renvoyait donc les lignes brutes dans le chat pendant que le dashboard groupait, et « combien d'affaires chaudes ? » répondait « 1 opportunité » — le nombre de LIGNES du résultat agrégé, au lieu des 14 qu'il contenait.</w:t>
      </w:r>
    </w:p>
    <w:p>
      <w:r>
        <w:rPr>
          <w:b w:val="0"/>
          <w:i w:val="0"/>
        </w:rPr>
        <w:t>Le seuil est un MINIMUM : 90 % ou 100 % entrent aussi dans les affaires chaudes. Encore fallait-il le prouver — sur les vraies données, aucune affaire encore en jeu ne dépasse 80 %, donc remplacer « &gt;= » par « = » n'aurait changé aucun chiffre et serait passé inaperçu. dac check prouve qu'une requête s'exécute, pas qu'elle sélectionne les bonnes lignes : un fichier de tests dédié exécute désormais le SQL de la vue d'ensemble sur des lignes fabriquées, et la protection a été vérifiée par mutation.</w:t>
      </w:r>
    </w:p>
    <w:p>
      <w:pPr>
        <w:spacing w:before="40"/>
      </w:pPr>
      <w:r>
        <w:rPr>
          <w:i/>
          <w:color w:val="52514E"/>
          <w:sz w:val="19"/>
        </w:rPr>
        <w:t>Découverte au passage : dans ce Sheet, 100 % n'est pas une prévision mais un CONSTAT. Les 88 opportunités à 1,0 sont exactement les 88 déjà gagnées ou signées — correspondance parfaite. Aucune affaire chaude n'apparaît donc à 100 %, non par un défaut du filtre, mais parce qu'une affaire dont la décision est tombée n'est plus en jeu.</w:t>
      </w:r>
    </w:p>
    <w:p>
      <w:r>
        <w:rPr>
          <w:b w:val="0"/>
          <w:i w:val="0"/>
        </w:rPr>
        <w:t>Borner une valeur n'est pas demander une liste. Le souhait d'une liste s'exprime par use_raw_table ou chart_type == « table », et les trois modules appliquent maintenant cette règle. Deux tests de non-régression la verrouillent, un par module concerné.</w:t>
      </w:r>
    </w:p>
    <w:p>
      <w:pPr>
        <w:keepNext/>
        <w:spacing w:before="280" w:after="120"/>
      </w:pPr>
      <w:r>
        <w:rPr>
          <w:b/>
          <w:color w:val="242422"/>
          <w:sz w:val="27"/>
        </w:rPr>
        <w:t>9.7 Compléter plutôt que remplacer</w:t>
      </w:r>
    </w:p>
    <w:p>
      <w:r>
        <w:rPr>
          <w:b w:val="0"/>
          <w:i w:val="0"/>
        </w:rPr>
        <w:t>« Ajoute le budget par pays » place un widget de plus sur le tableau de bord affiché au lieu de le recomposer. Le verbe ne change rien à l'analyse demandée — même métrique, même axe, mêmes filtres — seulement la façon dont le résultat rejoint l'écran : d'où un simple drapeau porté par l'intention, plutôt qu'un chemin de composition parallèle à maintenir.</w:t>
      </w:r>
    </w:p>
    <w:p>
      <w:pPr>
        <w:spacing w:before="40"/>
      </w:pPr>
      <w:r>
        <w:rPr>
          <w:i/>
          <w:color w:val="52514E"/>
          <w:sz w:val="19"/>
        </w:rPr>
        <w:t>Limite acceptée volontairement : l'ajout ne complète PAS la vue d'ensemble, seulement le tableau de bord de travail. Les widgets de la vue d'ensemble suivent les filtres de période et de practice de la page, qu'un widget ajouté ne connaît pas — déplacer le filtre mettrait 24 widgets à jour et pas le 25e. Un piège silencieux vaut moins qu'une limite énoncée.</w:t>
      </w:r>
    </w:p>
    <w:p>
      <w:r>
        <w:rPr>
          <w:b w:val="0"/>
          <w:i w:val="0"/>
        </w:rPr>
        <w:t>Un ajout déjà présent est signalé comme tel plutôt qu'annoncé à tort, et un plafond de 24 widgets empêche la page de devenir un mur où l'on ne trouve plus rien.</w:t>
      </w:r>
    </w:p>
    <w:p>
      <w:pPr>
        <w:keepNext/>
        <w:spacing w:before="280" w:after="120"/>
      </w:pPr>
      <w:r>
        <w:rPr>
          <w:b/>
          <w:color w:val="242422"/>
          <w:sz w:val="27"/>
        </w:rPr>
        <w:t>9.8 Dire ce qui a changé</w:t>
      </w:r>
    </w:p>
    <w:p>
      <w:r>
        <w:rPr>
          <w:b w:val="0"/>
          <w:i w:val="0"/>
        </w:rPr>
        <w:t>Une demande de suite modifie le tableau de bord affiché. Sans le dire, l'utilisateur voit l'iframe se recharger sans savoir ce qui a été pris en compte. La phrase est construite en comparant les deux intentions — jamais par le modèle : elle décrit ce qui a réellement changé dans les requêtes, pas ce qu'on croit avoir compris.</w:t>
      </w:r>
    </w:p>
    <w:p>
      <w:pPr>
        <w:spacing w:before="40"/>
      </w:pPr>
      <w:r>
        <w:rPr>
          <w:i/>
          <w:color w:val="52514E"/>
          <w:sz w:val="19"/>
        </w:rPr>
        <w:t>Deux cas restaient muets, et seule l'exécution les a montrés. « En camembert » sur dix-neuf pays ne produisait AUCUN message : la forme était bien refusée, mais la raison ne vivait que dans le tableau de bord, et rien d'autre n'ayant bougé, la comparaison ne trouvait rien à dire. Une demande sans effet — un filtre déjà posé — était tout aussi silencieuse. Chaque demande reçoit désormais une réponse explicite.</w:t>
      </w:r>
    </w:p>
    <w:p>
      <w:r>
        <w:rPr>
          <w:b w:val="0"/>
          <w:i w:val="0"/>
        </w:rPr>
        <w:t>Au-delà de trois différences, rien n'est annoncé : le mot « modifié » deviendrait trompeur, ce n'est plus une retouche mais une autre analyse.</w:t>
      </w:r>
    </w:p>
    <w:p>
      <w:pPr>
        <w:keepNext/>
        <w:spacing w:before="280" w:after="120"/>
      </w:pPr>
      <w:r>
        <w:rPr>
          <w:b/>
          <w:color w:val="242422"/>
          <w:sz w:val="27"/>
        </w:rPr>
        <w:t>9.9 Un seul tableau de bord,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compte de service, pas clé API</w:t>
      </w:r>
    </w:p>
    <w:p>
      <w:r>
        <w:rPr>
          <w:b w:val="0"/>
          <w:i w:val="0"/>
        </w:rPr>
        <w:t>L'application doit pouvoir ÉCRIRE dans le Sheet (identifiants des nouvelles lignes et colonnes calculées, section 4.3), ce qu'une simple clé API ne permet pas — elle est en lecture seule. L'accès passe donc par un compte de service Google (fichier JSON, ajouté en Éditeur sur le Sheet cible).</w:t>
      </w:r>
    </w:p>
    <w:p>
      <w:r>
        <w:rPr>
          <w:b w:val="0"/>
          <w:i w:val="0"/>
        </w:rPr>
        <w:t>Optimisation mesurée : la résolution du Sheet (open_by_key puis worksheet) coûte deux allers-retours réseau, soit 1,6 s, et était rejouée à chaque cycle alors que le client authentifié, lui, était déjà mis en cache. Mettre aussi en cache l'objet Worksheet fait tomber ce coût à zéro sur les appels suivants — un chargement complet passe de ~1,1 s à ~0,4 s. Le profilage avait d'ailleurs démenti l'intuition de départ : les écritures en base ne représentaient que 0,03 s, l'essentiel du temps était réseau.</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le volet d'historique</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C'est le SEUL moyen de modifier le tableau de bord affiché. Une rangée de retouches en un clic avait été essayée puis retirée : décrire ce que l'on veut est plus expressif qu'un choix parmi quatre raccourcis, et la présence des boutons suggérait à tort que le reste ne se demandait pas.</w:t>
      </w:r>
    </w:p>
    <w:p>
      <w:r>
        <w:rPr>
          <w:b w:val="0"/>
          <w:i w:val="0"/>
        </w:rPr>
        <w:t>Les analyses déjà produites vivent dans un volet d'historique, ouvert depuis l'en-tête du TABLEAU DE BORD — pas du chat : c'est par lui qu'on choisit quelle analyse regarder, il précède donc le sélecteur de vue, qui ne fait ensuite que basculer entre elle et la vue d'ensemble. Superposé au chat, groupé par jour, il signale l'analyse affichée et rouvre n'importe quelle demande passée d'un clic. Une liste déroulante avait d'abord été livrée, puis remplacée — elle cachait son contenu tant qu'on ne l'ouvrait pas, tronquait des intitulés qui sont des phrases entières, et ne pouvait porter ni date ni état courant.</w:t>
      </w:r>
    </w:p>
    <w:p>
      <w:pPr>
        <w:spacing w:before="40"/>
      </w:pPr>
      <w:r>
        <w:rPr>
          <w:i/>
          <w:color w:val="52514E"/>
          <w:sz w:val="19"/>
        </w:rPr>
        <w:t>L'historique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Les conversations enregistrées avant l'ajout de l'horodatage sont regroupées sous « Plus ancien » plutôt que de porter une fausse date.</w:t>
      </w:r>
    </w:p>
    <w:p>
      <w:pPr>
        <w:keepNext/>
        <w:spacing w:before="280" w:after="120"/>
      </w:pPr>
      <w:r>
        <w:rPr>
          <w:b/>
          <w:color w:val="242422"/>
          <w:sz w:val="27"/>
        </w:rPr>
        <w:t>13.3 Un seul tableau de bord, et des transitions en fondu</w:t>
      </w:r>
    </w:p>
    <w:p>
      <w:r>
        <w:rPr>
          <w:b w:val="0"/>
          <w:i w:val="0"/>
        </w:rPr>
        <w:t>La bascule entre « Vue d'ensemble » et « Mon tableau de bord » a été retirée : il n'y a plus qu'un tableau de bord, qui s'ouvre sur la vue d'ensemble et que les questions transforment. Le rechargement de la page y revient — l'affichage et le contexte de la dernière question ne sont plus restaurés, car les conserver rouvrait une analyse que personne n'avait redemandée et laissait une suite comme « en camembert » ajuster un tableau de bord qu'on ne regardait plus. La conversation, elle, reste conservée.</w:t>
      </w:r>
    </w:p>
    <w:p>
      <w:pPr>
        <w:spacing w:before="40"/>
      </w:pPr>
      <w:r>
        <w:rPr>
          <w:i/>
          <w:color w:val="52514E"/>
          <w:sz w:val="19"/>
        </w:rPr>
        <w:t>Recharger l'iframe en place la vidait le temps du chargement : l'écran passait au blanc à chaque question. Deux cadres se superposent désormais — celui qu'on regarde, et le suivant qui charge par-dessus, invisible. Quand il est prêt il devient opaque, et l'ancien n'est retiré qu'ENSUITE, une fois le fondu terminé : retirer l'ancien au moment de la promotion aurait laissé apparaître le fond entre les deux.</w:t>
      </w:r>
    </w:p>
    <w:p>
      <w:r>
        <w:rPr>
          <w:b w:val="0"/>
          <w:i w:val="0"/>
        </w:rPr>
        <w:t>Le squelette animé ne sert donc plus qu'au tout premier affichage, quand il n'y a effectivement rien à montrer en attendant (démarrage à froid du moteur de requête). Les fois suivantes, le tableau de bord précédent tient ce rôle bien mieux, et un fil d'attente de deux pixels en tête signale le travail en cours. La préférence système « mouvement réduit » ramène le tout à un basculement instantané, sans jamais rouvrir de fenêtre de vide.</w:t>
      </w:r>
    </w:p>
    <w:p>
      <w:pPr>
        <w:keepNext/>
        <w:spacing w:before="280" w:after="120"/>
      </w:pPr>
      <w:r>
        <w:rPr>
          <w:b/>
          <w:color w:val="242422"/>
          <w:sz w:val="27"/>
        </w:rPr>
        <w:t>13.4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15. Tests automatisés</w:t>
      </w:r>
    </w:p>
    <w:p>
      <w:r>
        <w:rPr>
          <w:b w:val="0"/>
          <w:i w:val="0"/>
        </w:rPr>
        <w:t>230 tests pytest, sans dépendance réseau ni données réelles : le client Gemini et le client Google Sheets (gspread)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Gemini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62</w:t>
            </w:r>
          </w:p>
        </w:tc>
        <w:tc>
          <w:tcPr>
            <w:tcW w:type="dxa" w:w="3137"/>
          </w:tcPr>
          <w:p>
            <w:r/>
            <w:r>
              <w:rPr>
                <w:sz w:val="19"/>
              </w:rPr>
              <w:t>Dates relatives, parseur par mots-clés, affinage d'intention, normalisation funnel/heatmap/scatter/days_remaining/exclude_statuses, arbitrage du type de graphique, retouches et vérification de couverture mot à mot.</w:t>
            </w:r>
          </w:p>
        </w:tc>
      </w:tr>
      <w:tr>
        <w:tc>
          <w:tcPr>
            <w:tcW w:type="dxa" w:w="3137"/>
            <w:shd w:fill="FAFAF8"/>
          </w:tcPr>
          <w:p>
            <w:r/>
            <w:r>
              <w:rPr>
                <w:sz w:val="19"/>
              </w:rPr>
              <w:t>test_data_store.py</w:t>
            </w:r>
          </w:p>
        </w:tc>
        <w:tc>
          <w:tcPr>
            <w:tcW w:type="dxa" w:w="3137"/>
            <w:shd w:fill="FAFAF8"/>
          </w:tcPr>
          <w:p>
            <w:r/>
            <w:r>
              <w:rPr>
                <w:sz w:val="19"/>
              </w:rPr>
              <w:t>26</w:t>
            </w:r>
          </w:p>
        </w:tc>
        <w:tc>
          <w:tcPr>
            <w:tcW w:type="dxa" w:w="3137"/>
            <w:shd w:fill="FAFAF8"/>
          </w:tcPr>
          <w:p>
            <w:r/>
            <w:r>
              <w:rPr>
                <w:sz w:val="19"/>
              </w:rPr>
              <w:t>Parsing et validation par ligne, littéraux NULL, attribution et réécriture des identifiants, réparation cellule par cellule sans perdre la ligne, traçabilité de chaque remplacement, résilience à une panne de lecture du Sheet.</w:t>
            </w:r>
          </w:p>
        </w:tc>
      </w:tr>
      <w:tr>
        <w:tc>
          <w:tcPr>
            <w:tcW w:type="dxa" w:w="3137"/>
          </w:tcPr>
          <w:p>
            <w:r/>
            <w:r>
              <w:rPr>
                <w:sz w:val="19"/>
              </w:rPr>
              <w:t>test_dac_composer.py</w:t>
            </w:r>
          </w:p>
        </w:tc>
        <w:tc>
          <w:tcPr>
            <w:tcW w:type="dxa" w:w="3137"/>
          </w:tcPr>
          <w:p>
            <w:r/>
            <w:r>
              <w:rPr>
                <w:sz w:val="19"/>
              </w:rPr>
              <w:t>40</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c>
          <w:tcPr>
            <w:tcW w:type="dxa" w:w="3137"/>
            <w:shd w:fill="FAFAF8"/>
          </w:tcPr>
          <w:p>
            <w:r/>
            <w:r>
              <w:rPr>
                <w:sz w:val="19"/>
              </w:rPr>
              <w:t>test_db_layer.py</w:t>
            </w:r>
          </w:p>
        </w:tc>
        <w:tc>
          <w:tcPr>
            <w:tcW w:type="dxa" w:w="3137"/>
            <w:shd w:fill="FAFAF8"/>
          </w:tcPr>
          <w:p>
            <w:r/>
            <w:r>
              <w:rPr>
                <w:sz w:val="19"/>
              </w:rPr>
              <w:t>22</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26</w:t>
            </w:r>
          </w:p>
        </w:tc>
        <w:tc>
          <w:tcPr>
            <w:tcW w:type="dxa" w:w="3137"/>
            <w:shd w:fill="FAFAF8"/>
          </w:tcPr>
          <w:p>
            <w:r/>
            <w:r>
              <w:rPr>
                <w:sz w:val="19"/>
              </w:rPr>
              <w:t>Formatage des unités, messages texte déterministes, cohérence texte/graphique pour funnel et heatmap, description de ce qui a changé dans le tableau de bord.</w:t>
            </w:r>
          </w:p>
        </w:tc>
      </w:tr>
      <w:tr>
        <w:tc>
          <w:tcPr>
            <w:tcW w:type="dxa" w:w="3137"/>
          </w:tcPr>
          <w:p>
            <w:r/>
            <w:r>
              <w:rPr>
                <w:sz w:val="19"/>
              </w:rPr>
              <w:t>test_hot_deals.py</w:t>
            </w:r>
          </w:p>
        </w:tc>
        <w:tc>
          <w:tcPr>
            <w:tcW w:type="dxa" w:w="3137"/>
          </w:tcPr>
          <w:p>
            <w:r/>
            <w:r>
              <w:rPr>
                <w:sz w:val="19"/>
              </w:rPr>
              <w:t>9</w:t>
            </w:r>
          </w:p>
        </w:tc>
        <w:tc>
          <w:tcPr>
            <w:tcW w:type="dxa" w:w="3137"/>
          </w:tcPr>
          <w:p>
            <w:r/>
            <w:r>
              <w:rPr>
                <w:sz w:val="19"/>
              </w:rPr>
              <w:t>Le critere des affaires chaudes de bout en bout : seuil inclusif, statut sans effet, ponderation absente ecartee, accord entre la definition pandas et le SQL des KPI, et NULL plutot que NaN a l export.</w:t>
            </w:r>
          </w:p>
        </w:tc>
      </w:tr>
      <w:tr>
        <w:tc>
          <w:tcPr>
            <w:tcW w:type="dxa" w:w="3137"/>
            <w:shd w:fill="FAFAF8"/>
          </w:tcPr>
          <w:p>
            <w:r/>
            <w:r>
              <w:rPr>
                <w:sz w:val="19"/>
              </w:rPr>
              <w:t>test_accueil_dashboard.py</w:t>
            </w:r>
          </w:p>
        </w:tc>
        <w:tc>
          <w:tcPr>
            <w:tcW w:type="dxa" w:w="3137"/>
            <w:shd w:fill="FAFAF8"/>
          </w:tcPr>
          <w:p>
            <w:r/>
            <w:r>
              <w:rPr>
                <w:sz w:val="19"/>
              </w:rPr>
              <w:t>8</w:t>
            </w:r>
          </w:p>
        </w:tc>
        <w:tc>
          <w:tcPr>
            <w:tcW w:type="dxa" w:w="3137"/>
            <w:shd w:fill="FAFAF8"/>
          </w:tcPr>
          <w:p>
            <w:r/>
            <w:r>
              <w:rPr>
                <w:sz w:val="19"/>
              </w:rPr>
              <w:t>SQL de la vue d'ensemble exécuté sur des lignes fabriquées : seuil des affaires chaudes inclusif, issues qui totalisent les offres remises, taux de réussite calculé sur les seules offres décidées.</w:t>
            </w:r>
          </w:p>
        </w:tc>
      </w:tr>
      <w:tr>
        <w:tc>
          <w:tcPr>
            <w:tcW w:type="dxa" w:w="3137"/>
          </w:tcPr>
          <w:p>
            <w:r/>
            <w:r>
              <w:rPr>
                <w:sz w:val="19"/>
              </w:rPr>
              <w:t>test_palette.py</w:t>
            </w:r>
          </w:p>
        </w:tc>
        <w:tc>
          <w:tcPr>
            <w:tcW w:type="dxa" w:w="3137"/>
          </w:tcPr>
          <w:p>
            <w:r/>
            <w:r>
              <w:rPr>
                <w:sz w:val="19"/>
              </w:rPr>
              <w:t>3</w:t>
            </w:r>
          </w:p>
        </w:tc>
        <w:tc>
          <w:tcPr>
            <w:tcW w:type="dxa" w:w="3137"/>
          </w:tcPr>
          <w:p>
            <w:r/>
            <w:r>
              <w:rPr>
                <w:sz w:val="19"/>
              </w:rPr>
              <w:t>La palette de graphiques vit dans deux fichiers qui doivent rester identiques ; chaque teinte atteint 3:1 avec la surface ; aucune n est employee deux fois.</w:t>
            </w:r>
          </w:p>
        </w:tc>
      </w:tr>
      <w:tr>
        <w:tc>
          <w:tcPr>
            <w:tcW w:type="dxa" w:w="3137"/>
            <w:shd w:fill="FAFAF8"/>
          </w:tcPr>
          <w:p>
            <w:r/>
            <w:r>
              <w:rPr>
                <w:sz w:val="19"/>
              </w:rPr>
              <w:t>test_frontend_proxy.py</w:t>
            </w:r>
          </w:p>
        </w:tc>
        <w:tc>
          <w:tcPr>
            <w:tcW w:type="dxa" w:w="3137"/>
            <w:shd w:fill="FAFAF8"/>
          </w:tcPr>
          <w:p>
            <w:r/>
            <w:r>
              <w:rPr>
                <w:sz w:val="19"/>
              </w:rPr>
              <w:t>3</w:t>
            </w:r>
          </w:p>
        </w:tc>
        <w:tc>
          <w:tcPr>
            <w:tcW w:type="dxa" w:w="3137"/>
            <w:shd w:fill="FAFAF8"/>
          </w:tcPr>
          <w:p>
            <w:r/>
            <w:r>
              <w:rPr>
                <w:sz w:val="19"/>
              </w:rPr>
              <w:t>Les appels de src/api.js, les prefixes du proxy Vite et les routes de main.py doivent rester d accord ; le montage statique reste declare en dernier.</w:t>
            </w:r>
          </w:p>
        </w:tc>
      </w:tr>
      <w:tr>
        <w:tc>
          <w:tcPr>
            <w:tcW w:type="dxa" w:w="3137"/>
          </w:tcPr>
          <w:p>
            <w:r/>
            <w:r>
              <w:rPr>
                <w:sz w:val="19"/>
              </w:rPr>
              <w:t>test_alerts.py</w:t>
            </w:r>
          </w:p>
        </w:tc>
        <w:tc>
          <w:tcPr>
            <w:tcW w:type="dxa" w:w="3137"/>
          </w:tcPr>
          <w:p>
            <w:r/>
            <w:r>
              <w:rPr>
                <w:sz w:val="19"/>
              </w:rPr>
              <w:t>12</w:t>
            </w:r>
          </w:p>
        </w:tc>
        <w:tc>
          <w:tcPr>
            <w:tcW w:type="dxa" w:w="3137"/>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Limites connues</w:t>
      </w:r>
    </w:p>
    <w:p>
      <w:pPr>
        <w:pStyle w:val="ListBullet"/>
      </w:pPr>
      <w:r>
        <w:t>Google Gemini (fournisseur actuel depuis la migration forcée, section 2.2) supporte en fait les sorties structurées strictes (vérifié empiriquement), mais l'app garde volontairement l'architecture JSON libre héritée de Groq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Le mode sombre ne s'applique pas à la zone tableau de bord. L'identité Devoteam, elle, y est appliquée par un thème dédié (couleurs et palette de graphiques reprises de l'application), mais ce thème est un paramètre du serveur de tableaux de bord, fixé à son lancement : il ne peut donc pas suivre le bouton clair/sombre du navigateur, qui ne concerne que le chat.</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