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pStyle w:val="ListBullet"/>
      </w:pPr>
      <w:r>
        <w:t>Le tableau de bord principal est découpé en cinq sections — offres remises, affaires chaudes, santé du portefeuille, pipeline, échéances — accessibles par une barre d'onglets. Chacune affiche en sous-titre la question à laquelle elle répond, et un bouton ramène au point de départ depuis n'importe quel écran.</w:t>
      </w:r>
    </w:p>
    <w:p>
      <w:pPr>
        <w:pStyle w:val="ListBullet"/>
      </w:pPr>
      <w:r>
        <w:t>Quand une section porte déjà la réponse à la question posée, elle s'ouvre filtrée comme demandé au lieu qu'un tableau de bord soit créé : l'utilisateur reste sur une page qu'il connaît, et le chiffre affiché provient d'un widget relu en revue.</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Ollama (local) — qwen2.5:7b-instruct-q4_K_M</w:t>
            </w:r>
          </w:p>
        </w:tc>
        <w:tc>
          <w:tcPr>
            <w:tcW w:type="dxa" w:w="3137"/>
          </w:tcPr>
          <w:p>
            <w:r/>
            <w:r>
              <w:rPr>
                <w:sz w:val="19"/>
              </w:rPr>
              <w:t>Aucune clé API, aucun quota, sortie JSON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(622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622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lecture du Sheet ne passe par aucun identifiant (lien d'export public) — ni clé API à protéger, ni fichier de compte de service, l'application n'en utilise plus aucun.</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