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03120" cy="877408"/>
            <wp:docPr id="1" name="Picture 1"/>
            <wp:cNvGraphicFramePr>
              <a:graphicFrameLocks noChangeAspect="1"/>
            </wp:cNvGraphicFramePr>
            <a:graphic>
              <a:graphicData uri="http://schemas.openxmlformats.org/drawingml/2006/picture">
                <pic:pic>
                  <pic:nvPicPr>
                    <pic:cNvPr id="0" name="Dev_logo_rgb.png"/>
                    <pic:cNvPicPr/>
                  </pic:nvPicPr>
                  <pic:blipFill>
                    <a:blip r:embed="rId9"/>
                    <a:stretch>
                      <a:fillRect/>
                    </a:stretch>
                  </pic:blipFill>
                  <pic:spPr>
                    <a:xfrm>
                      <a:off x="0" y="0"/>
                      <a:ext cx="2103120" cy="877408"/>
                    </a:xfrm>
                    <a:prstGeom prst="rect"/>
                  </pic:spPr>
                </pic:pic>
              </a:graphicData>
            </a:graphic>
          </wp:inline>
        </w:drawing>
      </w:r>
    </w:p>
    <w:p/>
    <w:p/>
    <w:p/>
    <w:p>
      <w:pPr>
        <w:jc w:val="center"/>
      </w:pPr>
      <w:r>
        <w:rPr>
          <w:rFonts w:ascii="Calibri" w:hAnsi="Calibri"/>
          <w:b/>
          <w:color w:val="F2405A"/>
          <w:sz w:val="24"/>
        </w:rPr>
        <w:t>DOCUMENTATION TECHNIQUE</w:t>
      </w:r>
    </w:p>
    <w:p>
      <w:pPr>
        <w:jc w:val="center"/>
      </w:pPr>
      <w:r>
        <w:rPr>
          <w:b/>
          <w:color w:val="242422"/>
          <w:sz w:val="54"/>
        </w:rPr>
        <w:t>DevoTeam Dashboard</w:t>
      </w:r>
    </w:p>
    <w:p>
      <w:pPr>
        <w:jc w:val="center"/>
      </w:pPr>
      <w:r>
        <w:rPr>
          <w:color w:val="52514E"/>
          <w:sz w:val="26"/>
        </w:rPr>
        <w:t>Guide technique détaillé — architecture, code et préparation entretien</w:t>
      </w:r>
    </w:p>
    <w:p/>
    <w:p/>
    <w:p/>
    <w:p/>
    <w:p/>
    <w:p/>
    <w:p>
      <w:pPr>
        <w:jc w:val="center"/>
      </w:pPr>
      <w:r>
        <w:rPr>
          <w:color w:val="52514E"/>
          <w:sz w:val="20"/>
        </w:rPr>
        <w:t>DevoTeam Dashboard — Projet interne  |  Octobre 2026  |  Youssef Hmidi</w:t>
      </w:r>
    </w:p>
    <w:p>
      <w:r>
        <w:br w:type="page"/>
      </w:r>
    </w:p>
    <w:p>
      <w:pPr>
        <w:keepNext/>
        <w:spacing w:before="400" w:after="200"/>
        <w:pBdr>
          <w:bottom w:val="single" w:sz="18" w:space="4" w:color="D42A45"/>
        </w:pBdr>
      </w:pPr>
      <w:r>
        <w:rPr>
          <w:b/>
          <w:color w:val="F2405A"/>
          <w:sz w:val="36"/>
        </w:rPr>
        <w:t>Sommaire</w:t>
      </w:r>
    </w:p>
    <w:p>
      <w:pPr>
        <w:pStyle w:val="ListBullet"/>
      </w:pPr>
      <w:r>
        <w:rPr>
          <w:color w:val="242422"/>
        </w:rPr>
        <w:t>Vue d'ensemble de l'architecture</w:t>
      </w:r>
    </w:p>
    <w:p>
      <w:pPr>
        <w:pStyle w:val="ListBullet"/>
      </w:pPr>
      <w:r>
        <w:rPr>
          <w:color w:val="242422"/>
        </w:rPr>
        <w:t>Stack technique et justifications</w:t>
      </w:r>
    </w:p>
    <w:p>
      <w:pPr>
        <w:pStyle w:val="ListBullet"/>
      </w:pPr>
      <w:r>
        <w:rPr>
          <w:color w:val="242422"/>
        </w:rPr>
        <w:t>Structure du dépôt</w:t>
      </w:r>
    </w:p>
    <w:p>
      <w:pPr>
        <w:pStyle w:val="ListBullet"/>
      </w:pPr>
      <w:r>
        <w:rPr>
          <w:color w:val="242422"/>
        </w:rPr>
        <w:t>Source de données (backend/data_store.py)</w:t>
      </w:r>
    </w:p>
    <w:p>
      <w:pPr>
        <w:pStyle w:val="ListBullet"/>
      </w:pPr>
      <w:r>
        <w:rPr>
          <w:color w:val="242422"/>
        </w:rPr>
        <w:t>Pipeline requête → réponse</w:t>
      </w:r>
    </w:p>
    <w:p>
      <w:pPr>
        <w:pStyle w:val="ListBullet"/>
      </w:pPr>
      <w:r>
        <w:rPr>
          <w:color w:val="242422"/>
        </w:rPr>
        <w:t>Compréhension du langage naturel (backend/llm.py, intent_refiner.py)</w:t>
      </w:r>
    </w:p>
    <w:p>
      <w:pPr>
        <w:pStyle w:val="ListBullet"/>
      </w:pPr>
      <w:r>
        <w:rPr>
          <w:color w:val="242422"/>
        </w:rPr>
        <w:t>Couche de requêtage pandas (backend/db_layer.py, schema_and_whitelist.py)</w:t>
      </w:r>
    </w:p>
    <w:p>
      <w:pPr>
        <w:pStyle w:val="ListBullet"/>
      </w:pPr>
      <w:r>
        <w:rPr>
          <w:color w:val="242422"/>
        </w:rPr>
        <w:t>Tableaux de bord as code (backend/dac_composer.py, sql_builder.py)</w:t>
      </w:r>
    </w:p>
    <w:p>
      <w:pPr>
        <w:pStyle w:val="ListBullet"/>
      </w:pPr>
      <w:r>
        <w:rPr>
          <w:color w:val="242422"/>
        </w:rPr>
        <w:t>Règles métier et assistance (backend/business_rules.py, intent_refiner.py)</w:t>
      </w:r>
    </w:p>
    <w:p>
      <w:pPr>
        <w:pStyle w:val="ListBullet"/>
      </w:pPr>
      <w:r>
        <w:rPr>
          <w:color w:val="242422"/>
        </w:rPr>
        <w:t>Réponses textuelles déterministes (backend/response_builder.py)</w:t>
      </w:r>
    </w:p>
    <w:p>
      <w:pPr>
        <w:pStyle w:val="ListBullet"/>
      </w:pPr>
      <w:r>
        <w:rPr>
          <w:color w:val="242422"/>
        </w:rPr>
        <w:t>Alertes deadlines (backend/alerts.py, scheduler)</w:t>
      </w:r>
    </w:p>
    <w:p>
      <w:pPr>
        <w:pStyle w:val="ListBullet"/>
      </w:pPr>
      <w:r>
        <w:rPr>
          <w:color w:val="242422"/>
        </w:rPr>
        <w:t>Le pont DuckDB (backend/duckdb_export.py)</w:t>
      </w:r>
    </w:p>
    <w:p>
      <w:pPr>
        <w:pStyle w:val="ListBullet"/>
      </w:pPr>
      <w:r>
        <w:rPr>
          <w:color w:val="242422"/>
        </w:rPr>
        <w:t>Frontend (Vite + React)</w:t>
      </w:r>
    </w:p>
    <w:p>
      <w:pPr>
        <w:pStyle w:val="ListBullet"/>
      </w:pPr>
      <w:r>
        <w:rPr>
          <w:color w:val="242422"/>
        </w:rPr>
        <w:t>Sécurité</w:t>
      </w:r>
    </w:p>
    <w:p>
      <w:pPr>
        <w:pStyle w:val="ListBullet"/>
      </w:pPr>
      <w:r>
        <w:rPr>
          <w:color w:val="242422"/>
        </w:rPr>
        <w:t>Tests automatisés</w:t>
      </w:r>
    </w:p>
    <w:p>
      <w:pPr>
        <w:pStyle w:val="ListBullet"/>
      </w:pPr>
      <w:r>
        <w:rPr>
          <w:color w:val="242422"/>
        </w:rPr>
        <w:t>Questions d'entretien probables</w:t>
      </w:r>
    </w:p>
    <w:p>
      <w:pPr>
        <w:pStyle w:val="ListBullet"/>
      </w:pPr>
      <w:r>
        <w:rPr>
          <w:color w:val="242422"/>
        </w:rPr>
        <w:t>Les deux modes d'exécution</w:t>
      </w:r>
    </w:p>
    <w:p>
      <w:pPr>
        <w:pStyle w:val="ListBullet"/>
      </w:pPr>
      <w:r>
        <w:rPr>
          <w:color w:val="242422"/>
        </w:rPr>
        <w:t>Limites connues</w:t>
      </w:r>
    </w:p>
    <w:p>
      <w:pPr>
        <w:pStyle w:val="ListBullet"/>
      </w:pPr>
      <w:r>
        <w:rPr>
          <w:color w:val="242422"/>
        </w:rPr>
        <w:t>Déploiement sur un poste neuf (Docker, INSTALLER.bat)</w:t>
      </w:r>
    </w:p>
    <w:p>
      <w:pPr>
        <w:pStyle w:val="ListBullet"/>
      </w:pPr>
      <w:r>
        <w:rPr>
          <w:color w:val="242422"/>
        </w:rPr>
        <w:t>La source de données depuis l'interface (backend/data_source.py)</w:t>
      </w:r>
    </w:p>
    <w:p>
      <w:r>
        <w:br w:type="page"/>
      </w:r>
    </w:p>
    <w:p>
      <w:pPr>
        <w:keepNext/>
        <w:spacing w:before="400" w:after="200"/>
        <w:pBdr>
          <w:bottom w:val="single" w:sz="18" w:space="4" w:color="D42A45"/>
        </w:pBdr>
      </w:pPr>
      <w:r>
        <w:rPr>
          <w:b/>
          <w:color w:val="F2405A"/>
          <w:sz w:val="36"/>
        </w:rPr>
        <w:t>1. Vue d'ensemble de l'architecture</w:t>
      </w:r>
    </w:p>
    <w:p>
      <w:r>
        <w:rPr>
          <w:b w:val="0"/>
          <w:i w:val="0"/>
        </w:rPr>
        <w:t>L'application suit un pipeline linéaire, chaque étape gérée par un module backend dédié. Le principe directeur : le LLM ne produit jamais directement un graphique, une requête ni un chiffre — il produit uniquement un JSON intermédiaire strictement validé, que du code déterministe transforme ensuite en requêtes puis en tableau de bord.</w:t>
      </w:r>
    </w:p>
    <w:p>
      <w:pPr>
        <w:spacing w:before="80" w:after="200"/>
        <w:shd w:fill="F3F2EE"/>
        <w:pBdr>
          <w:top w:val="single" w:sz="4" w:space="4" w:color="E1E0D9"/>
          <w:left w:val="single" w:sz="4" w:space="4" w:color="E1E0D9"/>
          <w:bottom w:val="single" w:sz="4" w:space="4" w:color="E1E0D9"/>
          <w:right w:val="single" w:sz="4" w:space="4" w:color="E1E0D9"/>
        </w:pBdr>
      </w:pPr>
      <w:r>
        <w:rPr>
          <w:rFonts w:ascii="Consolas" w:hAnsi="Consolas"/>
          <w:color w:val="242422"/>
          <w:sz w:val="18"/>
        </w:rPr>
        <w:t>Google Sheet (source de vérité)</w:t>
        <w:br/>
        <w:t xml:space="preserve">   │  toutes les 15 min (+ démarrage + à la demande)</w:t>
        <w:br/>
        <w:t xml:space="preserve">   ▼</w:t>
        <w:br/>
        <w:t>backend/data_store.py  →  DataFrame pandas (en mémoire)</w:t>
        <w:br/>
        <w:t xml:space="preserve">   │                              │</w:t>
        <w:br/>
        <w:t xml:space="preserve">   │ duckdb_export.py             └─→ chat &amp; alertes</w:t>
        <w:br/>
        <w:t xml:space="preserve">   ▼ (projection lecture seule)</w:t>
        <w:br/>
        <w:t>dac/data/devoteam.db  ←──────────── interrogé par Bruin DAC</w:t>
        <w:br/>
        <w:br/>
        <w:t>Utilisateur (chat React)</w:t>
        <w:br/>
        <w:t xml:space="preserve">   │  POST /dashboard { query, previous_intent }</w:t>
        <w:br/>
        <w:t xml:space="preserve">   ▼</w:t>
        <w:br/>
        <w:t>backend/llm.py :: parse_user_query()</w:t>
        <w:br/>
        <w:t xml:space="preserve">   │  parseur rapide (mots-clés) OU appel Ollama (local) + validation Pydantic</w:t>
        <w:br/>
        <w:t xml:space="preserve">   │  résolution des filtres (fuzzy match) contre les données réelles</w:t>
        <w:br/>
        <w:t xml:space="preserve">   ▼  intent = {metric, dimension, filters, chart_type, ...}</w:t>
        <w:br/>
        <w:t>backend/db_layer.py (pandas)  →  response_builder.py  →  message texte</w:t>
        <w:br/>
        <w:t xml:space="preserve">   │</w:t>
        <w:br/>
        <w:t>backend/dac_composer.py</w:t>
        <w:br/>
        <w:t xml:space="preserve">   │  compose 5-7 widgets par règles déterministes</w:t>
        <w:br/>
        <w:t xml:space="preserve">   │  sql_builder.py génère le SQL de chacun</w:t>
        <w:br/>
        <w:t xml:space="preserve">   ▼  réécrit _principal.yml (travail) + _analyse_&lt;hash&gt;.yml (instantané)</w:t>
        <w:br/>
        <w:t>Frontend React :: iframe → Bruin DAC (port 8321)</w:t>
        <w:br/>
        <w:t xml:space="preserve">   exécute le SQL sur DuckDB et affiche le tableau de bord</w:t>
      </w:r>
    </w:p>
    <w:p>
      <w:r>
        <w:rPr>
          <w:b w:val="0"/>
          <w:i w:val="0"/>
        </w:rPr>
        <w:t>En parallèle, un scheduler (APScheduler) exécute deux tâches indépendantes du chat : le rafraîchissement des données depuis le Sheet toutes les 15 minutes, et la vérification des échéances proches à 8h (voir section 11).</w:t>
      </w:r>
    </w:p>
    <w:p>
      <w:r>
        <w:rPr>
          <w:b w:val="0"/>
          <w:i w:val="0"/>
        </w:rPr>
        <w:t>Trois processus tournent donc en local : l'API FastAPI (port 8000), le serveur de tableaux de bord DAC (port 8321) et le frontend Vite (port 5173). scripts/start_dev.bat les lance ensemble.</w:t>
      </w:r>
    </w:p>
    <w:p>
      <w:pPr>
        <w:keepNext/>
        <w:spacing w:before="400" w:after="200"/>
        <w:pBdr>
          <w:bottom w:val="single" w:sz="18" w:space="4" w:color="D42A45"/>
        </w:pBdr>
      </w:pPr>
      <w:r>
        <w:rPr>
          <w:b/>
          <w:color w:val="F2405A"/>
          <w:sz w:val="36"/>
        </w:rPr>
        <w:t>2. Stack technique et justifications</w:t>
      </w:r>
    </w:p>
    <w:p>
      <w:pPr>
        <w:keepNext/>
        <w:spacing w:before="280" w:after="120"/>
      </w:pPr>
      <w:r>
        <w:rPr>
          <w:b/>
          <w:color w:val="242422"/>
          <w:sz w:val="27"/>
        </w:rPr>
        <w:t>2.1 De SQLite à MySQL, puis plus de base du tout</w:t>
      </w:r>
    </w:p>
    <w:p>
      <w:r>
        <w:rPr>
          <w:b w:val="0"/>
          <w:i w:val="0"/>
        </w:rPr>
        <w:t>Le cadrage initial envisageait SQLite ; le projet est d'abord passé à MySQL/MariaDB via XAMPP (accès concurrent, vues SQL pré-agrégées par dimension, pool de connexions). Une fois le Google Sheet devenu l'outil de saisie des équipes, cette base n'était plus qu'un intermédiaire : les données y étaient recopiées depuis le Sheet toutes les 15 minutes, pour être relues juste après. La base a donc été supprimée — le Sheet est désormais lu directement et chargé dans un DataFrame pandas en mémoire.</w:t>
      </w:r>
    </w:p>
    <w:p>
      <w:r>
        <w:rPr>
          <w:b w:val="0"/>
          <w:i w:val="0"/>
        </w:rPr>
        <w:t>Ce que ça a réellement simplifié, au-delà de la suppression de XAMPP des prérequis : toute la machinerie de vues pré-agrégées a disparu avec elle. La couche SQL devait choisir la bonne vue selon la dimension demandée, vérifier que cette vue supportait bien les filtres et la métrique, puis retomber sur un GROUP BY brut quand ce n'était pas le cas. pandas groupe uniformément, quelle que soit la combinaison — trois mécanismes de repli en moins.</w:t>
      </w:r>
    </w:p>
    <w:p>
      <w:r>
        <w:rPr>
          <w:b w:val="0"/>
          <w:i w:val="0"/>
        </w:rPr>
        <w:t>Le raisonnement tient à l'échelle des données : environ 360 lignes et 18 colonnes tiennent en mémoire sans effort. Ce choix serait à revoir si le portefeuille changeait d'ordre de grandeur (dizaines de milliers de lignes), ou s'il fallait des écritures concurrentes depuis plusieurs postes.</w:t>
      </w:r>
    </w:p>
    <w:p>
      <w:pPr>
        <w:keepNext/>
        <w:spacing w:before="280" w:after="120"/>
      </w:pPr>
      <w:r>
        <w:rPr>
          <w:b/>
          <w:color w:val="242422"/>
          <w:sz w:val="27"/>
        </w:rPr>
        <w:t>2.2 Groq → Google Gemini (migration forcée en cours de projet)</w:t>
      </w:r>
    </w:p>
    <w:p>
      <w:r>
        <w:rPr>
          <w:b w:val="0"/>
          <w:i w:val="0"/>
        </w:rPr>
        <w:t>Le mandat initial imposait un modèle open source à faible latence : Groq servait Llama 3.3 70B avec un `response_format: json_object` garantissant une sortie JSON syntaxiquement valide, mais pas le respect d'un schéma strict (contrairement à un mode « structured outputs » complet) — d'où l'importance de la couche de validation Pydantic + liste blanche placée juste après (section 6). Ce modèle a depuis été retiré du service par Groq (erreur 404 modèle introuvable, confirmée avec deux clés API différentes — pas un problème d'accès mais une dépréciation réelle), cassant toute question ne passant pas par le chemin rapide par mots-clés. Migration vers Google Gemini (`gemini-flash-lite-latest` — un alias plutôt qu'une version épinglée, pour ne pas revivre le même type de panne si Google fait tourner sa gamme) en gardant volontairement la même architecture (JSON libre + validation Pydantic + réparation heuristique) plutôt que d'adopter les sorties structurées strictes de Gemini (vérifiées disponibles à cette occasion) — changer de fournisseur ET d'architecture en même temps aurait ajouté un risque inutile sous pression. Deuxième surprise trouvée juste après, en conditions réelles : le premier modèle essayé (`gemini-flash-latest`) a un quota gratuit de seulement 5 requêtes/minute, épuisé en quelques messages de chat — la variante « lite » tient ~16 requêtes/minute pour une qualité d'extraction équivalente sur les mêmes tests, puisque c'est le schéma + Pydantic qui garantissent la précision, pas la taille du modèle. Un quota épuisé (429) et une surcharge transitoire (503, avec deux tentatives automatiques avant abandon) reçoivent maintenant chacun un message distinct plutôt que la même erreur générique.</w:t>
      </w:r>
    </w:p>
    <w:p>
      <w:pPr>
        <w:keepNext/>
        <w:spacing w:before="280" w:after="120"/>
      </w:pPr>
      <w:r>
        <w:rPr>
          <w:b/>
          <w:color w:val="242422"/>
          <w:sz w:val="27"/>
        </w:rPr>
        <w:t>2.3 Vega-Lite → Bruin DAC (tableaux de bord as code)</w:t>
      </w:r>
    </w:p>
    <w:p>
      <w:r>
        <w:rPr>
          <w:b w:val="0"/>
          <w:i w:val="0"/>
        </w:rPr>
        <w:t>Le rendu était assuré par Vega-Lite : le backend générait une spécification JSON par question, affichée par un composant React. Ça fonctionnait pour un graphique isolé, mais chaque type de graphique demandait sa propre logique de construction — l'entonnoir de vente, par exemple, exigeait de précalculer une géométrie symétrique en Python parce que Vega-Lite ne sait pas produire cette forme nativement.</w:t>
      </w:r>
    </w:p>
    <w:p>
      <w:r>
        <w:rPr>
          <w:b w:val="0"/>
          <w:i w:val="0"/>
        </w:rPr>
        <w:t>Bruin DAC renverse l'approche : un tableau de bord est un fichier YAML versionné décrivant des widgets (grille 12 colonnes, 21 types de graphiques, filtres interactifs), rendu par un binaire dédié. Trois bénéfices concrets : les tableaux de bord passent en revue comme du code et se comparent d'une version à l'autre ; l'entonnoir, la carte de chaleur et le nuage de points sont natifs ; et surtout DAC est explicitement conçu pour que des agents IA écrivent les tableaux de bord — ce qui correspond exactement à l'usage visé ici, où le chat en génère un par question.</w:t>
      </w:r>
    </w:p>
    <w:p>
      <w:r>
        <w:rPr>
          <w:b w:val="0"/>
          <w:i w:val="0"/>
        </w:rPr>
        <w:t>Contrepartie assumée : DAC sert sa propre interface web (port 8321), qu'on ne peut pas rendre comme un composant React. L'application l'affiche donc en iframe, ce qui signifie que la zone tableau de bord n'utilise pas le thème Devoteam ni le mode sombre du reste de l'interface. C'est le prix payé pour récupérer un moteur de rendu complet plutôt que de le réécrire.</w:t>
      </w:r>
    </w:p>
    <w:p>
      <w:pPr>
        <w:keepNext/>
        <w:spacing w:before="280" w:after="120"/>
      </w:pPr>
      <w:r>
        <w:rPr>
          <w:b/>
          <w:color w:val="242422"/>
          <w:sz w:val="27"/>
        </w:rPr>
        <w:t>2.4 Pourquoi un fichier DuckDB alors qu'il n'y a plus de base</w:t>
      </w:r>
    </w:p>
    <w:p>
      <w:r>
        <w:rPr>
          <w:b w:val="0"/>
          <w:i w:val="0"/>
        </w:rPr>
        <w:t>DAC ne sait interroger que des connexions SQL. Comme les données vivent désormais dans un DataFrame en mémoire, un pont était nécessaire : `backend/duckdb_export.py` réécrit ce DataFrame dans un fichier DuckDB local à chaque rafraîchissement. Ce n'est pas un retour à une base de données — c'est une projection en lecture seule, régénérée, que rien d'autre ne lit. pandas reste la source de vérité pour le chat et les alertes, ce qui garantit que les deux moteurs affichent les mêmes chiffres.</w:t>
      </w:r>
    </w:p>
    <w:p>
      <w:r>
        <w:rPr>
          <w:b w:val="0"/>
          <w:i w:val="0"/>
        </w:rPr>
        <w:t>Un piège de concurrence a dû être traité : DuckDB autorise plusieurs lecteurs OU un seul écrivain, jamais les deux. Une lecture DAC pendant une écriture échouerait donc. La connexion DAC est déclarée en lecture seule, et l'écriture réessaie quelques fois à intervalle court — vérifié sous charge avec trois rafraîchissements concurrents contre vingt-sept requêtes de widgets.</w:t>
      </w:r>
    </w:p>
    <w:p>
      <w:pPr>
        <w:keepNext/>
        <w:spacing w:before="280" w:after="120"/>
      </w:pPr>
      <w:r>
        <w:rPr>
          <w:b/>
          <w:color w:val="242422"/>
          <w:sz w:val="27"/>
        </w:rPr>
        <w:t>2.5 Pourquoi APScheduler plutôt qu'une tâche planifiée externe (cron/Task Scheduler)</w:t>
      </w:r>
    </w:p>
    <w:p>
      <w:r>
        <w:rPr>
          <w:b w:val="0"/>
          <w:i w:val="0"/>
        </w:rPr>
        <w:t>Le backend est un processus unique en local (`uvicorn`). APScheduler tourne dans ce même processus (`BackgroundScheduler`), démarré/arrêté via le cycle de vie FastAPI (`lifespan`) — aucune dépendance à un ordonnanceur système externe, ce qui simplifie le déploiement local. Les tâches de démarrage sont enregistrées comme des jobs « une fois, immédiatement » plutôt qu'exécutées avant le `yield` : le serveur accepte donc les requêtes dès que la boucle est prête, sans attendre le premier chargement du Sheet. Limite assumée : si le processus est arrêté au moment précis d'une exécution planifiée, elle est manquée — d'où le mécanisme de rattrapage décrit en section 10.</w:t>
      </w:r>
    </w:p>
    <w:p>
      <w:pPr>
        <w:keepNext/>
        <w:spacing w:before="400" w:after="200"/>
        <w:pBdr>
          <w:bottom w:val="single" w:sz="18" w:space="4" w:color="D42A45"/>
        </w:pBdr>
      </w:pPr>
      <w:r>
        <w:rPr>
          <w:b/>
          <w:color w:val="F2405A"/>
          <w:sz w:val="36"/>
        </w:rPr>
        <w:t>3. Structure du dépôt</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fill="F2405A"/>
          </w:tcPr>
          <w:p>
            <w:r/>
            <w:r>
              <w:rPr>
                <w:b/>
                <w:color w:val="FFFFFF"/>
                <w:sz w:val="19"/>
              </w:rPr>
              <w:t>Chemin</w:t>
            </w:r>
          </w:p>
        </w:tc>
        <w:tc>
          <w:tcPr>
            <w:tcW w:type="dxa" w:w="4706"/>
            <w:shd w:fill="F2405A"/>
          </w:tcPr>
          <w:p>
            <w:r/>
            <w:r>
              <w:rPr>
                <w:b/>
                <w:color w:val="FFFFFF"/>
                <w:sz w:val="19"/>
              </w:rPr>
              <w:t>Contenu</w:t>
            </w:r>
          </w:p>
        </w:tc>
      </w:tr>
      <w:tr>
        <w:trPr>
          <w:cantSplit/>
        </w:trPr>
        <w:tc>
          <w:tcPr>
            <w:tcW w:type="dxa" w:w="4706"/>
          </w:tcPr>
          <w:p>
            <w:r/>
            <w:r>
              <w:rPr>
                <w:sz w:val="19"/>
              </w:rPr>
              <w:t>backend/main.py</w:t>
            </w:r>
          </w:p>
        </w:tc>
        <w:tc>
          <w:tcPr>
            <w:tcW w:type="dxa" w:w="4706"/>
          </w:tcPr>
          <w:p>
            <w:r/>
            <w:r>
              <w:rPr>
                <w:sz w:val="19"/>
              </w:rPr>
              <w:t>Application FastAPI, endpoints, câblage du scheduler.</w:t>
            </w:r>
          </w:p>
        </w:tc>
      </w:tr>
      <w:tr>
        <w:trPr>
          <w:cantSplit/>
        </w:trPr>
        <w:tc>
          <w:tcPr>
            <w:tcW w:type="dxa" w:w="4706"/>
            <w:shd w:fill="FAFAF8"/>
          </w:tcPr>
          <w:p>
            <w:r/>
            <w:r>
              <w:rPr>
                <w:sz w:val="19"/>
              </w:rPr>
              <w:t>backend/data_store.py</w:t>
            </w:r>
          </w:p>
        </w:tc>
        <w:tc>
          <w:tcPr>
            <w:tcW w:type="dxa" w:w="4706"/>
            <w:shd w:fill="FAFAF8"/>
          </w:tcPr>
          <w:p>
            <w:r/>
            <w:r>
              <w:rPr>
                <w:sz w:val="19"/>
              </w:rPr>
              <w:t>Chargement du Google Sheet vers un DataFrame pandas (source de vérité).</w:t>
            </w:r>
          </w:p>
        </w:tc>
      </w:tr>
      <w:tr>
        <w:trPr>
          <w:cantSplit/>
        </w:trPr>
        <w:tc>
          <w:tcPr>
            <w:tcW w:type="dxa" w:w="4706"/>
          </w:tcPr>
          <w:p>
            <w:r/>
            <w:r>
              <w:rPr>
                <w:sz w:val="19"/>
              </w:rPr>
              <w:t>backend/llm.py</w:t>
            </w:r>
          </w:p>
        </w:tc>
        <w:tc>
          <w:tcPr>
            <w:tcW w:type="dxa" w:w="4706"/>
          </w:tcPr>
          <w:p>
            <w:r/>
            <w:r>
              <w:rPr>
                <w:sz w:val="19"/>
              </w:rPr>
              <w:t>Appel LLM, validation Pydantic, résolution des filtres, anti-hallucination.</w:t>
            </w:r>
          </w:p>
        </w:tc>
      </w:tr>
      <w:tr>
        <w:trPr>
          <w:cantSplit/>
        </w:trPr>
        <w:tc>
          <w:tcPr>
            <w:tcW w:type="dxa" w:w="4706"/>
            <w:shd w:fill="FAFAF8"/>
          </w:tcPr>
          <w:p>
            <w:r/>
            <w:r>
              <w:rPr>
                <w:sz w:val="19"/>
              </w:rPr>
              <w:t>backend/intent_refiner.py</w:t>
            </w:r>
          </w:p>
        </w:tc>
        <w:tc>
          <w:tcPr>
            <w:tcW w:type="dxa" w:w="4706"/>
            <w:shd w:fill="FAFAF8"/>
          </w:tcPr>
          <w:p>
            <w:r/>
            <w:r>
              <w:rPr>
                <w:sz w:val="19"/>
              </w:rPr>
              <w:t>Parseur rapide par mots-clés, dates relatives, affinage de l'intention.</w:t>
            </w:r>
          </w:p>
        </w:tc>
      </w:tr>
      <w:tr>
        <w:trPr>
          <w:cantSplit/>
        </w:trPr>
        <w:tc>
          <w:tcPr>
            <w:tcW w:type="dxa" w:w="4706"/>
          </w:tcPr>
          <w:p>
            <w:r/>
            <w:r>
              <w:rPr>
                <w:sz w:val="19"/>
              </w:rPr>
              <w:t>backend/db_layer.py</w:t>
            </w:r>
          </w:p>
        </w:tc>
        <w:tc>
          <w:tcPr>
            <w:tcW w:type="dxa" w:w="4706"/>
          </w:tcPr>
          <w:p>
            <w:r/>
            <w:r>
              <w:rPr>
                <w:sz w:val="19"/>
              </w:rPr>
              <w:t>Requêtage pandas du DataFrame (données du message texte).</w:t>
            </w:r>
          </w:p>
        </w:tc>
      </w:tr>
      <w:tr>
        <w:trPr>
          <w:cantSplit/>
        </w:trPr>
        <w:tc>
          <w:tcPr>
            <w:tcW w:type="dxa" w:w="4706"/>
            <w:shd w:fill="FAFAF8"/>
          </w:tcPr>
          <w:p>
            <w:r/>
            <w:r>
              <w:rPr>
                <w:sz w:val="19"/>
              </w:rPr>
              <w:t>backend/schema_and_whitelist.py</w:t>
            </w:r>
          </w:p>
        </w:tc>
        <w:tc>
          <w:tcPr>
            <w:tcW w:type="dxa" w:w="4706"/>
            <w:shd w:fill="FAFAF8"/>
          </w:tcPr>
          <w:p>
            <w:r/>
            <w:r>
              <w:rPr>
                <w:sz w:val="19"/>
              </w:rPr>
              <w:t>Source unique de vérité : métriques/dimensions/filtres autorisés.</w:t>
            </w:r>
          </w:p>
        </w:tc>
      </w:tr>
      <w:tr>
        <w:trPr>
          <w:cantSplit/>
        </w:trPr>
        <w:tc>
          <w:tcPr>
            <w:tcW w:type="dxa" w:w="4706"/>
          </w:tcPr>
          <w:p>
            <w:r/>
            <w:r>
              <w:rPr>
                <w:sz w:val="19"/>
              </w:rPr>
              <w:t>backend/sql_builder.py</w:t>
            </w:r>
          </w:p>
        </w:tc>
        <w:tc>
          <w:tcPr>
            <w:tcW w:type="dxa" w:w="4706"/>
          </w:tcPr>
          <w:p>
            <w:r/>
            <w:r>
              <w:rPr>
                <w:sz w:val="19"/>
              </w:rPr>
              <w:t>Intention validée -&gt; SQL DuckDB. Jamais écrit par le LLM.</w:t>
            </w:r>
          </w:p>
        </w:tc>
      </w:tr>
      <w:tr>
        <w:trPr>
          <w:cantSplit/>
        </w:trPr>
        <w:tc>
          <w:tcPr>
            <w:tcW w:type="dxa" w:w="4706"/>
            <w:shd w:fill="FAFAF8"/>
          </w:tcPr>
          <w:p>
            <w:r/>
            <w:r>
              <w:rPr>
                <w:sz w:val="19"/>
              </w:rPr>
              <w:t>backend/dac_composer.py</w:t>
            </w:r>
          </w:p>
        </w:tc>
        <w:tc>
          <w:tcPr>
            <w:tcW w:type="dxa" w:w="4706"/>
            <w:shd w:fill="FAFAF8"/>
          </w:tcPr>
          <w:p>
            <w:r/>
            <w:r>
              <w:rPr>
                <w:sz w:val="19"/>
              </w:rPr>
              <w:t>Composition du tableau de bord multi-widgets, écriture du YAML.</w:t>
            </w:r>
          </w:p>
        </w:tc>
      </w:tr>
      <w:tr>
        <w:trPr>
          <w:cantSplit/>
        </w:trPr>
        <w:tc>
          <w:tcPr>
            <w:tcW w:type="dxa" w:w="4706"/>
          </w:tcPr>
          <w:p>
            <w:r/>
            <w:r>
              <w:rPr>
                <w:sz w:val="19"/>
              </w:rPr>
              <w:t>backend/duckdb_export.py</w:t>
            </w:r>
          </w:p>
        </w:tc>
        <w:tc>
          <w:tcPr>
            <w:tcW w:type="dxa" w:w="4706"/>
          </w:tcPr>
          <w:p>
            <w:r/>
            <w:r>
              <w:rPr>
                <w:sz w:val="19"/>
              </w:rPr>
              <w:t>Projection du DataFrame vers le fichier DuckDB interrogé par DAC.</w:t>
            </w:r>
          </w:p>
        </w:tc>
      </w:tr>
      <w:tr>
        <w:trPr>
          <w:cantSplit/>
        </w:trPr>
        <w:tc>
          <w:tcPr>
            <w:tcW w:type="dxa" w:w="4706"/>
            <w:shd w:fill="FAFAF8"/>
          </w:tcPr>
          <w:p>
            <w:r/>
            <w:r>
              <w:rPr>
                <w:sz w:val="19"/>
              </w:rPr>
              <w:t>backend/response_builder.py</w:t>
            </w:r>
          </w:p>
        </w:tc>
        <w:tc>
          <w:tcPr>
            <w:tcW w:type="dxa" w:w="4706"/>
            <w:shd w:fill="FAFAF8"/>
          </w:tcPr>
          <w:p>
            <w:r/>
            <w:r>
              <w:rPr>
                <w:sz w:val="19"/>
              </w:rPr>
              <w:t>Messages texte déterministes (jamais générés par le LLM).</w:t>
            </w:r>
          </w:p>
        </w:tc>
      </w:tr>
      <w:tr>
        <w:trPr>
          <w:cantSplit/>
        </w:trPr>
        <w:tc>
          <w:tcPr>
            <w:tcW w:type="dxa" w:w="4706"/>
          </w:tcPr>
          <w:p>
            <w:r/>
            <w:r>
              <w:rPr>
                <w:sz w:val="19"/>
              </w:rPr>
              <w:t>backend/alerts.py</w:t>
            </w:r>
          </w:p>
        </w:tc>
        <w:tc>
          <w:tcPr>
            <w:tcW w:type="dxa" w:w="4706"/>
          </w:tcPr>
          <w:p>
            <w:r/>
            <w:r>
              <w:rPr>
                <w:sz w:val="19"/>
              </w:rPr>
              <w:t>Opportunités à échéance proche, envoi de l'email d'alerte.</w:t>
            </w:r>
          </w:p>
        </w:tc>
      </w:tr>
      <w:tr>
        <w:trPr>
          <w:cantSplit/>
        </w:trPr>
        <w:tc>
          <w:tcPr>
            <w:tcW w:type="dxa" w:w="4706"/>
            <w:shd w:fill="FAFAF8"/>
          </w:tcPr>
          <w:p>
            <w:r/>
            <w:r>
              <w:rPr>
                <w:sz w:val="19"/>
              </w:rPr>
              <w:t>backend/business_rules.py</w:t>
            </w:r>
          </w:p>
        </w:tc>
        <w:tc>
          <w:tcPr>
            <w:tcW w:type="dxa" w:w="4706"/>
            <w:shd w:fill="FAFAF8"/>
          </w:tcPr>
          <w:p>
            <w:r/>
            <w:r>
              <w:rPr>
                <w:sz w:val="19"/>
              </w:rPr>
              <w:t>Règles métier indépendantes de l'affichage (ordre du pipeline).</w:t>
            </w:r>
          </w:p>
        </w:tc>
      </w:tr>
      <w:tr>
        <w:trPr>
          <w:cantSplit/>
        </w:trPr>
        <w:tc>
          <w:tcPr>
            <w:tcW w:type="dxa" w:w="4706"/>
          </w:tcPr>
          <w:p>
            <w:r/>
            <w:r>
              <w:rPr>
                <w:sz w:val="19"/>
              </w:rPr>
              <w:t>backend/data_quality.py</w:t>
            </w:r>
          </w:p>
        </w:tc>
        <w:tc>
          <w:tcPr>
            <w:tcW w:type="dxa" w:w="4706"/>
          </w:tcPr>
          <w:p>
            <w:r/>
            <w:r>
              <w:rPr>
                <w:sz w:val="19"/>
              </w:rPr>
              <w:t>Rapport des lignes rejetées et des valeurs manquantes.</w:t>
            </w:r>
          </w:p>
        </w:tc>
      </w:tr>
      <w:tr>
        <w:trPr>
          <w:cantSplit/>
        </w:trPr>
        <w:tc>
          <w:tcPr>
            <w:tcW w:type="dxa" w:w="4706"/>
            <w:shd w:fill="FAFAF8"/>
          </w:tcPr>
          <w:p>
            <w:r/>
            <w:r>
              <w:rPr>
                <w:sz w:val="19"/>
              </w:rPr>
              <w:t>backend/data_source.py</w:t>
            </w:r>
          </w:p>
        </w:tc>
        <w:tc>
          <w:tcPr>
            <w:tcW w:type="dxa" w:w="4706"/>
            <w:shd w:fill="FAFAF8"/>
          </w:tcPr>
          <w:p>
            <w:r/>
            <w:r>
              <w:rPr>
                <w:sz w:val="19"/>
              </w:rPr>
              <w:t>Santé des données, liste des onglets, test et liaison d'une feuille depuis l'interface.</w:t>
            </w:r>
          </w:p>
        </w:tc>
      </w:tr>
      <w:tr>
        <w:trPr>
          <w:cantSplit/>
        </w:trPr>
        <w:tc>
          <w:tcPr>
            <w:tcW w:type="dxa" w:w="4706"/>
          </w:tcPr>
          <w:p>
            <w:r/>
            <w:r>
              <w:rPr>
                <w:sz w:val="19"/>
              </w:rPr>
              <w:t>scripts/stop.bat, stop.ps1</w:t>
            </w:r>
          </w:p>
        </w:tc>
        <w:tc>
          <w:tcPr>
            <w:tcW w:type="dxa" w:w="4706"/>
          </w:tcPr>
          <w:p>
            <w:r/>
            <w:r>
              <w:rPr>
                <w:sz w:val="19"/>
              </w:rPr>
              <w:t>Raccourci « Arrêter » : conteneurs, ports et mémoire du modèle.</w:t>
            </w:r>
          </w:p>
        </w:tc>
      </w:tr>
      <w:tr>
        <w:trPr>
          <w:cantSplit/>
        </w:trPr>
        <w:tc>
          <w:tcPr>
            <w:tcW w:type="dxa" w:w="4706"/>
            <w:shd w:fill="FAFAF8"/>
          </w:tcPr>
          <w:p>
            <w:r/>
            <w:r>
              <w:rPr>
                <w:sz w:val="19"/>
              </w:rPr>
              <w:t>dac/.bruin.yml</w:t>
            </w:r>
          </w:p>
        </w:tc>
        <w:tc>
          <w:tcPr>
            <w:tcW w:type="dxa" w:w="4706"/>
            <w:shd w:fill="FAFAF8"/>
          </w:tcPr>
          <w:p>
            <w:r/>
            <w:r>
              <w:rPr>
                <w:sz w:val="19"/>
              </w:rPr>
              <w:t>Connexion DuckDB de DAC (aucun identifiant, versionnée volontairement).</w:t>
            </w:r>
          </w:p>
        </w:tc>
      </w:tr>
      <w:tr>
        <w:trPr>
          <w:cantSplit/>
        </w:trPr>
        <w:tc>
          <w:tcPr>
            <w:tcW w:type="dxa" w:w="4706"/>
          </w:tcPr>
          <w:p>
            <w:r/>
            <w:r>
              <w:rPr>
                <w:sz w:val="19"/>
              </w:rPr>
              <w:t>dac/dashboards/accueil.yml</w:t>
            </w:r>
          </w:p>
        </w:tc>
        <w:tc>
          <w:tcPr>
            <w:tcW w:type="dxa" w:w="4706"/>
          </w:tcPr>
          <w:p>
            <w:r/>
            <w:r>
              <w:rPr>
                <w:sz w:val="19"/>
              </w:rPr>
              <w:t>Section « Vue d'ensemble commerciale » (11 widgets), produite par scripts/generate_accueil.py, versionnée et relue en revue.</w:t>
            </w:r>
          </w:p>
        </w:tc>
      </w:tr>
      <w:tr>
        <w:trPr>
          <w:cantSplit/>
        </w:trPr>
        <w:tc>
          <w:tcPr>
            <w:tcW w:type="dxa" w:w="4706"/>
            <w:shd w:fill="FAFAF8"/>
          </w:tcPr>
          <w:p>
            <w:r/>
            <w:r>
              <w:rPr>
                <w:sz w:val="19"/>
              </w:rPr>
              <w:t>dac/dashboards/section_*.yml</w:t>
            </w:r>
          </w:p>
        </w:tc>
        <w:tc>
          <w:tcPr>
            <w:tcW w:type="dxa" w:w="4706"/>
            <w:shd w:fill="FAFAF8"/>
          </w:tcPr>
          <w:p>
            <w:r/>
            <w:r>
              <w:rPr>
                <w:sz w:val="19"/>
              </w:rPr>
              <w:t>Les quatre autres sections du tableau de bord principal (affaires chaudes, santé du portefeuille, pipeline, échéances) — 21 widgets, même générateur.</w:t>
            </w:r>
          </w:p>
        </w:tc>
      </w:tr>
      <w:tr>
        <w:trPr>
          <w:cantSplit/>
        </w:trPr>
        <w:tc>
          <w:tcPr>
            <w:tcW w:type="dxa" w:w="4706"/>
          </w:tcPr>
          <w:p>
            <w:r/>
            <w:r>
              <w:rPr>
                <w:sz w:val="19"/>
              </w:rPr>
              <w:t>backend/overview_match.py</w:t>
            </w:r>
          </w:p>
        </w:tc>
        <w:tc>
          <w:tcPr>
            <w:tcW w:type="dxa" w:w="4706"/>
          </w:tcPr>
          <w:p>
            <w:r/>
            <w:r>
              <w:rPr>
                <w:sz w:val="19"/>
              </w:rPr>
              <w:t>Décide si une section répond déjà à la question posée, et laquelle ; sa table est prouvée par les tests.</w:t>
            </w:r>
          </w:p>
        </w:tc>
      </w:tr>
      <w:tr>
        <w:trPr>
          <w:cantSplit/>
        </w:trPr>
        <w:tc>
          <w:tcPr>
            <w:tcW w:type="dxa" w:w="4706"/>
            <w:shd w:fill="FAFAF8"/>
          </w:tcPr>
          <w:p>
            <w:r/>
            <w:r>
              <w:rPr>
                <w:sz w:val="19"/>
              </w:rPr>
              <w:t>dac/dashboards/_principal.yml</w:t>
            </w:r>
          </w:p>
        </w:tc>
        <w:tc>
          <w:tcPr>
            <w:tcW w:type="dxa" w:w="4706"/>
            <w:shd w:fill="FAFAF8"/>
          </w:tcPr>
          <w:p>
            <w:r/>
            <w:r>
              <w:rPr>
                <w:sz w:val="19"/>
              </w:rPr>
              <w:t>Tableau de bord de travail, réécrit par chaque question (éphémère, hors suivi git).</w:t>
            </w:r>
          </w:p>
        </w:tc>
      </w:tr>
      <w:tr>
        <w:trPr>
          <w:cantSplit/>
        </w:trPr>
        <w:tc>
          <w:tcPr>
            <w:tcW w:type="dxa" w:w="4706"/>
          </w:tcPr>
          <w:p>
            <w:r/>
            <w:r>
              <w:rPr>
                <w:sz w:val="19"/>
              </w:rPr>
              <w:t>dac/dashboards/_analyse_*.yml</w:t>
            </w:r>
          </w:p>
        </w:tc>
        <w:tc>
          <w:tcPr>
            <w:tcW w:type="dxa" w:w="4706"/>
          </w:tcPr>
          <w:p>
            <w:r/>
            <w:r>
              <w:rPr>
                <w:sz w:val="19"/>
              </w:rPr>
              <w:t>Instantané figé par question, pour les rouvrir (éphémère, hors suivi git).</w:t>
            </w:r>
          </w:p>
        </w:tc>
      </w:tr>
      <w:tr>
        <w:trPr>
          <w:cantSplit/>
        </w:trPr>
        <w:tc>
          <w:tcPr>
            <w:tcW w:type="dxa" w:w="4706"/>
            <w:shd w:fill="FAFAF8"/>
          </w:tcPr>
          <w:p>
            <w:r/>
            <w:r>
              <w:rPr>
                <w:sz w:val="19"/>
              </w:rPr>
              <w:t>frontend/src/</w:t>
            </w:r>
          </w:p>
        </w:tc>
        <w:tc>
          <w:tcPr>
            <w:tcW w:type="dxa" w:w="4706"/>
            <w:shd w:fill="FAFAF8"/>
          </w:tcPr>
          <w:p>
            <w:r/>
            <w:r>
              <w:rPr>
                <w:sz w:val="19"/>
              </w:rPr>
              <w:t>Application Vite + React (chat, iframe DAC, hooks, styles).</w:t>
            </w:r>
          </w:p>
        </w:tc>
      </w:tr>
      <w:tr>
        <w:trPr>
          <w:cantSplit/>
        </w:trPr>
        <w:tc>
          <w:tcPr>
            <w:tcW w:type="dxa" w:w="4706"/>
          </w:tcPr>
          <w:p>
            <w:r/>
            <w:r>
              <w:rPr>
                <w:sz w:val="19"/>
              </w:rPr>
              <w:t>tests/</w:t>
            </w:r>
          </w:p>
        </w:tc>
        <w:tc>
          <w:tcPr>
            <w:tcW w:type="dxa" w:w="4706"/>
          </w:tcPr>
          <w:p>
            <w:r/>
            <w:r>
              <w:rPr>
                <w:sz w:val="19"/>
              </w:rPr>
              <w:t>Suite pytest — 686 tests, aucune dépendance réseau ni données réelles.</w:t>
            </w:r>
          </w:p>
        </w:tc>
      </w:tr>
      <w:tr>
        <w:trPr>
          <w:cantSplit/>
        </w:trPr>
        <w:tc>
          <w:tcPr>
            <w:tcW w:type="dxa" w:w="4706"/>
            <w:shd w:fill="FAFAF8"/>
          </w:tcPr>
          <w:p>
            <w:r/>
            <w:r>
              <w:rPr>
                <w:sz w:val="19"/>
              </w:rPr>
              <w:t>Documentation/WORKFLOW.md</w:t>
            </w:r>
          </w:p>
        </w:tc>
        <w:tc>
          <w:tcPr>
            <w:tcW w:type="dxa" w:w="4706"/>
            <w:shd w:fill="FAFAF8"/>
          </w:tcPr>
          <w:p>
            <w:r/>
            <w:r>
              <w:rPr>
                <w:sz w:val="19"/>
              </w:rPr>
              <w:t>Traçage d'une question, du prompt au tableau de bord affiché.</w:t>
            </w:r>
          </w:p>
        </w:tc>
      </w:tr>
      <w:tr>
        <w:trPr>
          <w:cantSplit/>
        </w:trPr>
        <w:tc>
          <w:tcPr>
            <w:tcW w:type="dxa" w:w="4706"/>
          </w:tcPr>
          <w:p>
            <w:r/>
            <w:r>
              <w:rPr>
                <w:sz w:val="19"/>
              </w:rPr>
              <w:t>Documentation/reports/</w:t>
            </w:r>
          </w:p>
        </w:tc>
        <w:tc>
          <w:tcPr>
            <w:tcW w:type="dxa" w:w="4706"/>
          </w:tcPr>
          <w:p>
            <w:r/>
            <w:r>
              <w:rPr>
                <w:sz w:val="19"/>
              </w:rPr>
              <w:t>Ce guide, le rapport, le guide d'installation et leur générateur (generate_docs.py).</w:t>
            </w:r>
          </w:p>
        </w:tc>
      </w:tr>
      <w:tr>
        <w:trPr>
          <w:cantSplit/>
        </w:trPr>
        <w:tc>
          <w:tcPr>
            <w:tcW w:type="dxa" w:w="4706"/>
            <w:shd w:fill="FAFAF8"/>
          </w:tcPr>
          <w:p>
            <w:r/>
            <w:r>
              <w:rPr>
                <w:sz w:val="19"/>
              </w:rPr>
              <w:t>Documentation/PROGRESS.md</w:t>
            </w:r>
          </w:p>
        </w:tc>
        <w:tc>
          <w:tcPr>
            <w:tcW w:type="dxa" w:w="4706"/>
            <w:shd w:fill="FAFAF8"/>
          </w:tcPr>
          <w:p>
            <w:r/>
            <w:r>
              <w:rPr>
                <w:sz w:val="19"/>
              </w:rPr>
              <w:t>Journal de développement : chaque phase livrée, ses choix et ses vérifications.</w:t>
            </w:r>
          </w:p>
        </w:tc>
      </w:tr>
    </w:tbl>
    <w:p/>
    <w:p>
      <w:pPr>
        <w:keepNext/>
        <w:spacing w:before="400" w:after="200"/>
        <w:pBdr>
          <w:bottom w:val="single" w:sz="18" w:space="4" w:color="D42A45"/>
        </w:pBdr>
      </w:pPr>
      <w:r>
        <w:rPr>
          <w:b/>
          <w:color w:val="F2405A"/>
          <w:sz w:val="36"/>
        </w:rPr>
        <w:t>4. Source de données (backend/data_store.py)</w:t>
      </w:r>
    </w:p>
    <w:p>
      <w:r>
        <w:rPr>
          <w:b w:val="0"/>
          <w:i w:val="0"/>
        </w:rPr>
        <w:t>Il n'y a plus de base de données. Le Google Sheet est la source de vérité : `data_store.py` le lit en lecture seule via son lien d'export public (aucune clé API, aucun compte de service, aucun fichier JSON), valide chaque ligne, et construit un DataFrame pandas conservé en mémoire. Ce DataFrame est rafraîchi toutes les 15 minutes, au démarrage, et à la demande via POST /sheets/sync.</w:t>
      </w:r>
    </w:p>
    <w:p>
      <w:pPr>
        <w:keepNext/>
        <w:spacing w:before="280" w:after="120"/>
      </w:pPr>
      <w:r>
        <w:rPr>
          <w:b/>
          <w:color w:val="242422"/>
          <w:sz w:val="27"/>
        </w:rPr>
        <w:t>4.1 Les colonnes</w:t>
      </w:r>
    </w:p>
    <w:p>
      <w:r>
        <w:rPr>
          <w:b w:val="0"/>
          <w:i w:val="0"/>
        </w:rPr>
        <w:t>Environ 360 lignes, 18 colonnes. Les quatre dernières sont CALCULÉES à chaque chargement et jamais lues depuis le Sheet, même si elles y figurent : une donnée dérivable ne doit jamais pouvoir diverger de ce dont elle dérive.</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fill="F2405A"/>
          </w:tcPr>
          <w:p>
            <w:r/>
            <w:r>
              <w:rPr>
                <w:b/>
                <w:color w:val="FFFFFF"/>
                <w:sz w:val="19"/>
              </w:rPr>
              <w:t>Colonne</w:t>
            </w:r>
          </w:p>
        </w:tc>
        <w:tc>
          <w:tcPr>
            <w:tcW w:type="dxa" w:w="3137"/>
            <w:shd w:fill="F2405A"/>
          </w:tcPr>
          <w:p>
            <w:r/>
            <w:r>
              <w:rPr>
                <w:b/>
                <w:color w:val="FFFFFF"/>
                <w:sz w:val="19"/>
              </w:rPr>
              <w:t>Type</w:t>
            </w:r>
          </w:p>
        </w:tc>
        <w:tc>
          <w:tcPr>
            <w:tcW w:type="dxa" w:w="3137"/>
            <w:shd w:fill="F2405A"/>
          </w:tcPr>
          <w:p>
            <w:r/>
            <w:r>
              <w:rPr>
                <w:b/>
                <w:color w:val="FFFFFF"/>
                <w:sz w:val="19"/>
              </w:rPr>
              <w:t>Rôle</w:t>
            </w:r>
          </w:p>
        </w:tc>
      </w:tr>
      <w:tr>
        <w:trPr>
          <w:cantSplit/>
        </w:trPr>
        <w:tc>
          <w:tcPr>
            <w:tcW w:type="dxa" w:w="3137"/>
          </w:tcPr>
          <w:p>
            <w:r/>
            <w:r>
              <w:rPr>
                <w:sz w:val="19"/>
              </w:rPr>
              <w:t>id</w:t>
            </w:r>
          </w:p>
        </w:tc>
        <w:tc>
          <w:tcPr>
            <w:tcW w:type="dxa" w:w="3137"/>
          </w:tcPr>
          <w:p>
            <w:r/>
            <w:r>
              <w:rPr>
                <w:sz w:val="19"/>
              </w:rPr>
              <w:t>entier</w:t>
            </w:r>
          </w:p>
        </w:tc>
        <w:tc>
          <w:tcPr>
            <w:tcW w:type="dxa" w:w="3137"/>
          </w:tcPr>
          <w:p>
            <w:r/>
            <w:r>
              <w:rPr>
                <w:sz w:val="19"/>
              </w:rPr>
              <w:t>Identifiant ; attribué automatiquement (max + 1) et réécrit dans le Sheet si la ligne n'en a pas.</w:t>
            </w:r>
          </w:p>
        </w:tc>
      </w:tr>
      <w:tr>
        <w:trPr>
          <w:cantSplit/>
        </w:trPr>
        <w:tc>
          <w:tcPr>
            <w:tcW w:type="dxa" w:w="3137"/>
            <w:shd w:fill="FAFAF8"/>
          </w:tcPr>
          <w:p>
            <w:r/>
            <w:r>
              <w:rPr>
                <w:sz w:val="19"/>
              </w:rPr>
              <w:t>country</w:t>
            </w:r>
          </w:p>
        </w:tc>
        <w:tc>
          <w:tcPr>
            <w:tcW w:type="dxa" w:w="3137"/>
            <w:shd w:fill="FAFAF8"/>
          </w:tcPr>
          <w:p>
            <w:r/>
            <w:r>
              <w:rPr>
                <w:sz w:val="19"/>
              </w:rPr>
              <w:t>texte</w:t>
            </w:r>
          </w:p>
        </w:tc>
        <w:tc>
          <w:tcPr>
            <w:tcW w:type="dxa" w:w="3137"/>
            <w:shd w:fill="FAFAF8"/>
          </w:tcPr>
          <w:p>
            <w:r/>
            <w:r>
              <w:rPr>
                <w:sz w:val="19"/>
              </w:rPr>
              <w:t>Pays de l'opportunité.</w:t>
            </w:r>
          </w:p>
        </w:tc>
      </w:tr>
      <w:tr>
        <w:trPr>
          <w:cantSplit/>
        </w:trPr>
        <w:tc>
          <w:tcPr>
            <w:tcW w:type="dxa" w:w="3137"/>
          </w:tcPr>
          <w:p>
            <w:r/>
            <w:r>
              <w:rPr>
                <w:sz w:val="19"/>
              </w:rPr>
              <w:t>created_date / deadline</w:t>
            </w:r>
          </w:p>
        </w:tc>
        <w:tc>
          <w:tcPr>
            <w:tcW w:type="dxa" w:w="3137"/>
          </w:tcPr>
          <w:p>
            <w:r/>
            <w:r>
              <w:rPr>
                <w:sz w:val="19"/>
              </w:rPr>
              <w:t>date</w:t>
            </w:r>
          </w:p>
        </w:tc>
        <w:tc>
          <w:tcPr>
            <w:tcW w:type="dxa" w:w="3137"/>
          </w:tcPr>
          <w:p>
            <w:r/>
            <w:r>
              <w:rPr>
                <w:sz w:val="19"/>
              </w:rPr>
              <w:t>Dates de création et d'échéance. La deadline est la source de vérité de toute notion d'urgence.</w:t>
            </w:r>
          </w:p>
        </w:tc>
      </w:tr>
      <w:tr>
        <w:trPr>
          <w:cantSplit/>
        </w:trPr>
        <w:tc>
          <w:tcPr>
            <w:tcW w:type="dxa" w:w="3137"/>
            <w:shd w:fill="FAFAF8"/>
          </w:tcPr>
          <w:p>
            <w:r/>
            <w:r>
              <w:rPr>
                <w:sz w:val="19"/>
              </w:rPr>
              <w:t>practice</w:t>
            </w:r>
          </w:p>
        </w:tc>
        <w:tc>
          <w:tcPr>
            <w:tcW w:type="dxa" w:w="3137"/>
            <w:shd w:fill="FAFAF8"/>
          </w:tcPr>
          <w:p>
            <w:r/>
            <w:r>
              <w:rPr>
                <w:sz w:val="19"/>
              </w:rPr>
              <w:t>texte</w:t>
            </w:r>
          </w:p>
        </w:tc>
        <w:tc>
          <w:tcPr>
            <w:tcW w:type="dxa" w:w="3137"/>
            <w:shd w:fill="FAFAF8"/>
          </w:tcPr>
          <w:p>
            <w:r/>
            <w:r>
              <w:rPr>
                <w:sz w:val="19"/>
              </w:rPr>
              <w:t>Digital Transformation / Risk Advisory / Data Management.</w:t>
            </w:r>
          </w:p>
        </w:tc>
      </w:tr>
      <w:tr>
        <w:trPr>
          <w:cantSplit/>
        </w:trPr>
        <w:tc>
          <w:tcPr>
            <w:tcW w:type="dxa" w:w="3137"/>
          </w:tcPr>
          <w:p>
            <w:r/>
            <w:r>
              <w:rPr>
                <w:sz w:val="19"/>
              </w:rPr>
              <w:t>description, buyer, partner</w:t>
            </w:r>
          </w:p>
        </w:tc>
        <w:tc>
          <w:tcPr>
            <w:tcW w:type="dxa" w:w="3137"/>
          </w:tcPr>
          <w:p>
            <w:r/>
            <w:r>
              <w:rPr>
                <w:sz w:val="19"/>
              </w:rPr>
              <w:t>texte</w:t>
            </w:r>
          </w:p>
        </w:tc>
        <w:tc>
          <w:tcPr>
            <w:tcW w:type="dxa" w:w="3137"/>
          </w:tcPr>
          <w:p>
            <w:r/>
            <w:r>
              <w:rPr>
                <w:sz w:val="19"/>
              </w:rPr>
              <w:t>Informations descriptives libres.</w:t>
            </w:r>
          </w:p>
        </w:tc>
      </w:tr>
      <w:tr>
        <w:trPr>
          <w:cantSplit/>
        </w:trPr>
        <w:tc>
          <w:tcPr>
            <w:tcW w:type="dxa" w:w="3137"/>
            <w:shd w:fill="FAFAF8"/>
          </w:tcPr>
          <w:p>
            <w:r/>
            <w:r>
              <w:rPr>
                <w:sz w:val="19"/>
              </w:rPr>
              <w:t>opp_type</w:t>
            </w:r>
          </w:p>
        </w:tc>
        <w:tc>
          <w:tcPr>
            <w:tcW w:type="dxa" w:w="3137"/>
            <w:shd w:fill="FAFAF8"/>
          </w:tcPr>
          <w:p>
            <w:r/>
            <w:r>
              <w:rPr>
                <w:sz w:val="19"/>
              </w:rPr>
              <w:t>texte</w:t>
            </w:r>
          </w:p>
        </w:tc>
        <w:tc>
          <w:tcPr>
            <w:tcW w:type="dxa" w:w="3137"/>
            <w:shd w:fill="FAFAF8"/>
          </w:tcPr>
          <w:p>
            <w:r/>
            <w:r>
              <w:rPr>
                <w:sz w:val="19"/>
              </w:rPr>
              <w:t>AO, DP, AMI, Consultation, Prospection, Gré à gré, Avant-vente.</w:t>
            </w:r>
          </w:p>
        </w:tc>
      </w:tr>
      <w:tr>
        <w:trPr>
          <w:cantSplit/>
        </w:trPr>
        <w:tc>
          <w:tcPr>
            <w:tcW w:type="dxa" w:w="3137"/>
          </w:tcPr>
          <w:p>
            <w:r/>
            <w:r>
              <w:rPr>
                <w:sz w:val="19"/>
              </w:rPr>
              <w:t>status</w:t>
            </w:r>
          </w:p>
        </w:tc>
        <w:tc>
          <w:tcPr>
            <w:tcW w:type="dxa" w:w="3137"/>
          </w:tcPr>
          <w:p>
            <w:r/>
            <w:r>
              <w:rPr>
                <w:sz w:val="19"/>
              </w:rPr>
              <w:t>texte</w:t>
            </w:r>
          </w:p>
        </w:tc>
        <w:tc>
          <w:tcPr>
            <w:tcW w:type="dxa" w:w="3137"/>
          </w:tcPr>
          <w:p>
            <w:r/>
            <w:r>
              <w:rPr>
                <w:sz w:val="19"/>
              </w:rPr>
              <w:t>Statut du cycle de vente — 16 valeurs, dont 7 statuts « clos » exclus des alertes.</w:t>
            </w:r>
          </w:p>
        </w:tc>
      </w:tr>
      <w:tr>
        <w:trPr>
          <w:cantSplit/>
        </w:trPr>
        <w:tc>
          <w:tcPr>
            <w:tcW w:type="dxa" w:w="3137"/>
            <w:shd w:fill="FAFAF8"/>
          </w:tcPr>
          <w:p>
            <w:r/>
            <w:r>
              <w:rPr>
                <w:sz w:val="19"/>
              </w:rPr>
              <w:t>budget, financial_offer</w:t>
            </w:r>
          </w:p>
        </w:tc>
        <w:tc>
          <w:tcPr>
            <w:tcW w:type="dxa" w:w="3137"/>
            <w:shd w:fill="FAFAF8"/>
          </w:tcPr>
          <w:p>
            <w:r/>
            <w:r>
              <w:rPr>
                <w:sz w:val="19"/>
              </w:rPr>
              <w:t>décimal</w:t>
            </w:r>
          </w:p>
        </w:tc>
        <w:tc>
          <w:tcPr>
            <w:tcW w:type="dxa" w:w="3137"/>
            <w:shd w:fill="FAFAF8"/>
          </w:tcPr>
          <w:p>
            <w:r/>
            <w:r>
              <w:rPr>
                <w:sz w:val="19"/>
              </w:rPr>
              <w:t>Montants en euros.</w:t>
            </w:r>
          </w:p>
        </w:tc>
      </w:tr>
      <w:tr>
        <w:trPr>
          <w:cantSplit/>
        </w:trPr>
        <w:tc>
          <w:tcPr>
            <w:tcW w:type="dxa" w:w="3137"/>
          </w:tcPr>
          <w:p>
            <w:r/>
            <w:r>
              <w:rPr>
                <w:sz w:val="19"/>
              </w:rPr>
              <w:t>funding_source</w:t>
            </w:r>
          </w:p>
        </w:tc>
        <w:tc>
          <w:tcPr>
            <w:tcW w:type="dxa" w:w="3137"/>
          </w:tcPr>
          <w:p>
            <w:r/>
            <w:r>
              <w:rPr>
                <w:sz w:val="19"/>
              </w:rPr>
              <w:t>texte</w:t>
            </w:r>
          </w:p>
        </w:tc>
        <w:tc>
          <w:tcPr>
            <w:tcW w:type="dxa" w:w="3137"/>
          </w:tcPr>
          <w:p>
            <w:r/>
            <w:r>
              <w:rPr>
                <w:sz w:val="19"/>
              </w:rPr>
              <w:t>Source de financement.</w:t>
            </w:r>
          </w:p>
        </w:tc>
      </w:tr>
      <w:tr>
        <w:trPr>
          <w:cantSplit/>
        </w:trPr>
        <w:tc>
          <w:tcPr>
            <w:tcW w:type="dxa" w:w="3137"/>
            <w:shd w:fill="FAFAF8"/>
          </w:tcPr>
          <w:p>
            <w:r/>
            <w:r>
              <w:rPr>
                <w:sz w:val="19"/>
              </w:rPr>
              <w:t>win_probability</w:t>
            </w:r>
          </w:p>
        </w:tc>
        <w:tc>
          <w:tcPr>
            <w:tcW w:type="dxa" w:w="3137"/>
            <w:shd w:fill="FAFAF8"/>
          </w:tcPr>
          <w:p>
            <w:r/>
            <w:r>
              <w:rPr>
                <w:sz w:val="19"/>
              </w:rPr>
              <w:t>décimal</w:t>
            </w:r>
          </w:p>
        </w:tc>
        <w:tc>
          <w:tcPr>
            <w:tcW w:type="dxa" w:w="3137"/>
            <w:shd w:fill="FAFAF8"/>
          </w:tcPr>
          <w:p>
            <w:r/>
            <w:r>
              <w:rPr>
                <w:sz w:val="19"/>
              </w:rPr>
              <w:t>Fraction 0–1 (0.74 = 74 %), jamais stockée déjà multipliée par 100 — voir response_builder.py.</w:t>
            </w:r>
          </w:p>
        </w:tc>
      </w:tr>
      <w:tr>
        <w:trPr>
          <w:cantSplit/>
        </w:trPr>
        <w:tc>
          <w:tcPr>
            <w:tcW w:type="dxa" w:w="3137"/>
          </w:tcPr>
          <w:p>
            <w:r/>
            <w:r>
              <w:rPr>
                <w:sz w:val="19"/>
              </w:rPr>
              <w:t>deadline_month / deadline_year</w:t>
            </w:r>
          </w:p>
        </w:tc>
        <w:tc>
          <w:tcPr>
            <w:tcW w:type="dxa" w:w="3137"/>
          </w:tcPr>
          <w:p>
            <w:r/>
            <w:r>
              <w:rPr>
                <w:sz w:val="19"/>
              </w:rPr>
              <w:t>CALCULÉES</w:t>
            </w:r>
          </w:p>
        </w:tc>
        <w:tc>
          <w:tcPr>
            <w:tcW w:type="dxa" w:w="3137"/>
          </w:tcPr>
          <w:p>
            <w:r/>
            <w:r>
              <w:rPr>
                <w:sz w:val="19"/>
              </w:rPr>
              <w:t>Dérivées de deadline, utilisées comme dimensions d'analyse.</w:t>
            </w:r>
          </w:p>
        </w:tc>
      </w:tr>
      <w:tr>
        <w:trPr>
          <w:cantSplit/>
        </w:trPr>
        <w:tc>
          <w:tcPr>
            <w:tcW w:type="dxa" w:w="3137"/>
            <w:shd w:fill="FAFAF8"/>
          </w:tcPr>
          <w:p>
            <w:r/>
            <w:r>
              <w:rPr>
                <w:sz w:val="19"/>
              </w:rPr>
              <w:t>days_remaining</w:t>
            </w:r>
          </w:p>
        </w:tc>
        <w:tc>
          <w:tcPr>
            <w:tcW w:type="dxa" w:w="3137"/>
            <w:shd w:fill="FAFAF8"/>
          </w:tcPr>
          <w:p>
            <w:r/>
            <w:r>
              <w:rPr>
                <w:sz w:val="19"/>
              </w:rPr>
              <w:t>CALCULÉE</w:t>
            </w:r>
          </w:p>
        </w:tc>
        <w:tc>
          <w:tcPr>
            <w:tcW w:type="dxa" w:w="3137"/>
            <w:shd w:fill="FAFAF8"/>
          </w:tcPr>
          <w:p>
            <w:r/>
            <w:r>
              <w:rPr>
                <w:sz w:val="19"/>
              </w:rPr>
              <w:t>deadline moins la date du jour, recalculée à chaque chargement — donc jamais obsolète.</w:t>
            </w:r>
          </w:p>
        </w:tc>
      </w:tr>
      <w:tr>
        <w:trPr>
          <w:cantSplit/>
        </w:trPr>
        <w:tc>
          <w:tcPr>
            <w:tcW w:type="dxa" w:w="3137"/>
          </w:tcPr>
          <w:p>
            <w:r/>
            <w:r>
              <w:rPr>
                <w:sz w:val="19"/>
              </w:rPr>
              <w:t>weighted_amount</w:t>
            </w:r>
          </w:p>
        </w:tc>
        <w:tc>
          <w:tcPr>
            <w:tcW w:type="dxa" w:w="3137"/>
          </w:tcPr>
          <w:p>
            <w:r/>
            <w:r>
              <w:rPr>
                <w:sz w:val="19"/>
              </w:rPr>
              <w:t>CALCULÉE</w:t>
            </w:r>
          </w:p>
        </w:tc>
        <w:tc>
          <w:tcPr>
            <w:tcW w:type="dxa" w:w="3137"/>
          </w:tcPr>
          <w:p>
            <w:r/>
            <w:r>
              <w:rPr>
                <w:sz w:val="19"/>
              </w:rPr>
              <w:t>financial_offer × win_probability.</w:t>
            </w:r>
          </w:p>
        </w:tc>
      </w:tr>
    </w:tbl>
    <w:p/>
    <w:p>
      <w:pPr>
        <w:keepNext/>
        <w:spacing w:before="280" w:after="120"/>
      </w:pPr>
      <w:r>
        <w:rPr>
          <w:b/>
          <w:color w:val="242422"/>
          <w:sz w:val="27"/>
        </w:rPr>
        <w:t>4.2 Validation ligne par ligne</w:t>
      </w:r>
    </w:p>
    <w:p>
      <w:r>
        <w:rPr>
          <w:b w:val="0"/>
          <w:i w:val="0"/>
        </w:rPr>
        <w:t>Chaque ligne est validée indépendamment : dates acceptées dans deux formats, nombres à virgule décimale, probabilité tolérée en fraction (0.8) comme en pourcentage (80), et practice/opp_type/status vérifiés contre la liste blanche de schema_and_whitelist.py. Une cellule illisible coûte la CELLULE, jamais la ligne : elle est remplacée par « Non renseigné » et l'opportunité est conservée avec son budget, son échéance et son client.</w:t>
      </w:r>
    </w:p>
    <w:p>
      <w:pPr>
        <w:spacing w:before="40"/>
      </w:pPr>
      <w:r>
        <w:rPr>
          <w:i/>
          <w:color w:val="52514E"/>
          <w:sz w:val="19"/>
        </w:rPr>
        <w:t>Le rejet de la ligne entière était le choix initial, et il était trop cher : une opportunité complète disparaissait des totaux à cause d'un statut mal tapé. « Non renseigné » n'invente rien — il DIT que la donnée manque, reste visible comme catégorie à part dans les graphiques, et se filtre comme n'importe quelle autre valeur.</w:t>
      </w:r>
    </w:p>
    <w:p>
      <w:r>
        <w:rPr>
          <w:b w:val="0"/>
          <w:i w:val="0"/>
        </w:rPr>
        <w:t>La contrepartie est non négociable : réparer sans tracer reviendrait à corrompre les données en silence, exactement ce que le rejet servait à éviter. Chaque remplacement est recensé avec son numéro de ligne, sa colonne et sa valeur d'origine, exposé par GET /data/quality et par le tableau de bord « Qualité des données » — qui porte un compteur « Lignes écartées malgré tout » devant rester à zéro.</w:t>
      </w:r>
    </w:p>
    <w:p>
      <w:r>
        <w:rPr>
          <w:b w:val="0"/>
          <w:i w:val="0"/>
        </w:rPr>
        <w:t>Cas particulier de l'échéance : tous les champs dérivés en dépendent (deadline_month, deadline_year, days_remaining). Sans elle ils restent vides, et la ligne sort naturellement des analyses temporelles et du filtre « urgentes » sans cesser de compter dans les totaux — ce qui est précisément le but de la conserver.</w:t>
      </w:r>
    </w:p>
    <w:p>
      <w:r>
        <w:rPr>
          <w:b w:val="0"/>
          <w:i w:val="0"/>
        </w:rPr>
        <w:t>Détail qui a compté en pratique : l'export CSV vers Sheets écrit parfois les valeurs vides comme le texte littéral « NULL ». Sans normalisation explicite, un partenaire se serait appelé « NULL ». C'est aussi cette validation qui a révélé douze opportunités au statut invalide, présentes de longue date et jamais détectées faute de contrôle à l'écriture. Onze d'entre elles relevaient d'une décision métier (deux statuts légitimes à ajouter à la liste blanche) ; les quatre dernières portaient un type d'opportunité dans la colonne statut. Aucune n'est plus perdue aujourd'hui.</w:t>
      </w:r>
    </w:p>
    <w:p>
      <w:pPr>
        <w:keepNext/>
        <w:spacing w:before="280" w:after="120"/>
      </w:pPr>
      <w:r>
        <w:rPr>
          <w:b/>
          <w:color w:val="242422"/>
          <w:sz w:val="27"/>
        </w:rPr>
        <w:t>4.3 Aucune écriture retour dans le Sheet</w:t>
      </w:r>
    </w:p>
    <w:p>
      <w:r>
        <w:rPr>
          <w:b w:val="0"/>
          <w:i w:val="0"/>
        </w:rPr>
        <w:t>L'application ne fait que LIRE le Sheet. Les versions antérieures y réécrivaient l'identifiant des nouvelles lignes et les quatre colonnes calculées, en un seul appel groupé ; cette écriture a disparu avec le passage au lien d'export public (section 12.3), qui ne la permet de toute façon pas. Une ligne sans identifiant en reçoit un en mémoire à chaque chargement, jamais renvoyé vers Google, et les colonnes calculées ne vivent que dans les tableaux de bord.</w:t>
      </w:r>
    </w:p>
    <w:p>
      <w:r>
        <w:rPr>
          <w:b w:val="0"/>
          <w:i w:val="0"/>
        </w:rPr>
        <w:t>Conséquence voulue : aucune suppression ni modification possible du côté de l'application. Retirer une ligne du Sheet la fait simplement disparaître du chargement suivant, et rien n'est jamais effacé ailleurs.</w:t>
      </w:r>
    </w:p>
    <w:p>
      <w:pPr>
        <w:keepNext/>
        <w:spacing w:before="280" w:after="120"/>
      </w:pPr>
      <w:r>
        <w:rPr>
          <w:b/>
          <w:color w:val="242422"/>
          <w:sz w:val="27"/>
        </w:rPr>
        <w:t>4.4 État local (hors Sheet)</w:t>
      </w:r>
    </w:p>
    <w:p>
      <w:r>
        <w:rPr>
          <w:b w:val="0"/>
          <w:i w:val="0"/>
        </w:rPr>
        <w:t>Deux éléments seulement vivent hors du Sheet, et aucun n'est une base de données : `data/scheduler_state.json` retient la date du dernier envoi de l'alerte quotidienne (anti-doublon, section 10), et le cache des tableaux de bord déjà générés est un simple dictionnaire en mémoire, vidé à chaque rafraîchissement des données puisque celles-ci ont pu changer.</w:t>
      </w:r>
    </w:p>
    <w:p>
      <w:pPr>
        <w:keepNext/>
        <w:spacing w:before="400" w:after="200"/>
        <w:pBdr>
          <w:bottom w:val="single" w:sz="18" w:space="4" w:color="D42A45"/>
        </w:pBdr>
      </w:pPr>
      <w:r>
        <w:rPr>
          <w:b/>
          <w:color w:val="F2405A"/>
          <w:sz w:val="36"/>
        </w:rPr>
        <w:t>5. Pipeline requête → réponse (backend/main.py)</w:t>
      </w:r>
    </w:p>
    <w:p>
      <w:r>
        <w:rPr>
          <w:b w:val="0"/>
          <w:i w:val="0"/>
        </w:rPr>
        <w:t>L'endpoint POST /dashboard orchestre l'ensemble :</w:t>
      </w:r>
    </w:p>
    <w:p>
      <w:pPr>
        <w:pStyle w:val="ListNumber"/>
      </w:pPr>
      <w:r>
        <w:t>appelle parse_user_query(query, previous_intent) — jamais de session serveur, le frontend renvoie le dernier intent résolu à chaque nouvelle question.</w:t>
      </w:r>
    </w:p>
    <w:p>
      <w:pPr>
        <w:pStyle w:val="ListNumber"/>
      </w:pPr>
      <w:r>
        <w:t>si l'intention est une conversation générale (salutation, hors sujet) ou reste ambiguë, renvoie directement le message de clarification, sans rien interroger.</w:t>
      </w:r>
    </w:p>
    <w:p>
      <w:pPr>
        <w:pStyle w:val="ListNumber"/>
      </w:pPr>
      <w:r>
        <w:t>sinon, exécute build_and_execute_query(intent) sur le DataFrame pandas, puis compose le message texte à partir des lignes obtenues.</w:t>
      </w:r>
    </w:p>
    <w:p>
      <w:pPr>
        <w:pStyle w:val="ListNumber"/>
      </w:pPr>
      <w:r>
        <w:t>appelle write_generated_dashboard(query, intent) : le tableau de bord multi-widgets est composé puis écrit en YAML, et son nom est renvoyé au frontend qui pointe son iframe dessus.</w:t>
      </w:r>
    </w:p>
    <w:p>
      <w:pPr>
        <w:pStyle w:val="ListNumber"/>
      </w:pPr>
      <w:r>
        <w:t>cette génération est enveloppée dans un try/except : si elle échoue, la réponse textuelle est renvoyée quand même plutôt que de faire échouer toute la requête.</w:t>
      </w:r>
    </w:p>
    <w:p>
      <w:pPr>
        <w:pStyle w:val="ListNumber"/>
      </w:pPr>
      <w:r>
        <w:t>chaque question est journalisée (logger) avec l'intention extraite, à des fins d'audit et d'amélioration du prompt.</w:t>
      </w:r>
    </w:p>
    <w:p>
      <w:pPr>
        <w:keepNext/>
        <w:spacing w:before="400" w:after="200"/>
        <w:pBdr>
          <w:bottom w:val="single" w:sz="18" w:space="4" w:color="D42A45"/>
        </w:pBdr>
      </w:pPr>
      <w:r>
        <w:rPr>
          <w:b/>
          <w:color w:val="F2405A"/>
          <w:sz w:val="36"/>
        </w:rPr>
        <w:t>6. Compréhension du langage naturel</w:t>
      </w:r>
    </w:p>
    <w:p>
      <w:pPr>
        <w:keepNext/>
        <w:spacing w:before="280" w:after="120"/>
      </w:pPr>
      <w:r>
        <w:rPr>
          <w:b/>
          <w:color w:val="242422"/>
          <w:sz w:val="27"/>
        </w:rPr>
        <w:t>6.1 Deux chemins : parseur rapide vs LLM</w:t>
      </w:r>
    </w:p>
    <w:p>
      <w:r>
        <w:rPr>
          <w:b w:val="0"/>
          <w:i w:val="0"/>
        </w:rPr>
        <w:t>try_rule_based_parse() (intent_refiner.py) reconnaît par mots-clés fixes les cas simples (practice, statut, métrique, dimension). Il n'est utilisé que s'il n'y a pas de contexte de conversation précédent, et seulement après passage par _augment_rule_based_result(), qui refuse de lui faire confiance dès qu'une comparaison ou plusieurs pays sont mentionnés (retour à None → bascule vers le LLM). Dans tous les autres cas, l'appel au modèle local (Ollama, llm.py) prend le relais, avec le contexte multi-tour injecté dans le prompt système.</w:t>
      </w:r>
    </w:p>
    <w:p>
      <w:pPr>
        <w:keepNext/>
        <w:spacing w:before="280" w:after="120"/>
      </w:pPr>
      <w:r>
        <w:rPr>
          <w:b/>
          <w:color w:val="242422"/>
          <w:sz w:val="27"/>
        </w:rPr>
        <w:t>6.2 Validation stricte — DashboardIntent (Pydantic)</w:t>
      </w:r>
    </w:p>
    <w:p>
      <w:r>
        <w:rPr>
          <w:b w:val="0"/>
          <w:i w:val="0"/>
        </w:rPr>
        <w:t>La sortie JSON du LLM est chargée dans un modèle Pydantic dont le field_validator sur `filters` rejette toute clé absente de VALID_FILTERS. Toute erreur de validation renvoie un message de clarification à l'utilisateur — jamais un objet partiellement rempli avec des valeurs par défaut devinées.</w:t>
      </w:r>
    </w:p>
    <w:p>
      <w:pPr>
        <w:keepNext/>
        <w:spacing w:before="280" w:after="120"/>
      </w:pPr>
      <w:r>
        <w:rPr>
          <w:b/>
          <w:color w:val="242422"/>
          <w:sz w:val="27"/>
        </w:rPr>
        <w:t>6.3 Résolution des valeurs de filtre — _fuzzy_match()</w:t>
      </w:r>
    </w:p>
    <w:p>
      <w:r>
        <w:rPr>
          <w:b w:val="0"/>
          <w:i w:val="0"/>
        </w:rPr>
        <w:t>Ordre de résolution, dans cet ordre strict :</w:t>
      </w:r>
    </w:p>
    <w:p>
      <w:pPr>
        <w:pStyle w:val="ListNumber"/>
      </w:pPr>
      <w:r>
        <w:t>correspondance exacte dans la liste des valeurs connues ;</w:t>
      </w:r>
    </w:p>
    <w:p>
      <w:pPr>
        <w:pStyle w:val="ListNumber"/>
      </w:pPr>
      <w:r>
        <w:t>alias métier explicite (ex. « gagné » → « Offre gagnée ») ;</w:t>
      </w:r>
    </w:p>
    <w:p>
      <w:pPr>
        <w:pStyle w:val="ListNumber"/>
      </w:pPr>
      <w:r>
        <w:t>sous-chaîne bidirectionnelle ;</w:t>
      </w:r>
    </w:p>
    <w:p>
      <w:pPr>
        <w:pStyle w:val="ListNumber"/>
      </w:pPr>
      <w:r>
        <w:t>correspondance approchée via difflib (seuil 0.72).</w:t>
      </w:r>
    </w:p>
    <w:p>
      <w:r>
        <w:rPr>
          <w:b w:val="0"/>
          <w:i w:val="0"/>
        </w:rPr>
        <w:t>Si rien ne correspond avec confiance, IntentUnclear est levée et remonte comme demande de clarification nommant explicitement la valeur non reconnue — jamais un filtre silencieusement ignoré ou remplacé.</w:t>
      </w:r>
    </w:p>
    <w:p>
      <w:pPr>
        <w:keepNext/>
        <w:spacing w:before="280" w:after="120"/>
      </w:pPr>
      <w:r>
        <w:rPr>
          <w:b/>
          <w:color w:val="242422"/>
          <w:sz w:val="27"/>
        </w:rPr>
        <w:t>6.4 Dates relatives — calcul déterministe, jamais par le LLM</w:t>
      </w:r>
    </w:p>
    <w:p>
      <w:r>
        <w:rPr>
          <w:b w:val="0"/>
          <w:i w:val="0"/>
        </w:rPr>
        <w:t>refine_intent() / _apply_relative_period() (intent_refiner.py) résolvent des expressions comme « ce mois-ci », « l'année dernière » ou « le trimestre dernier » par de l'arithmétique de date pure en Python (gestion des passages d'année incluse). Le prompt système interdit explicitement au LLM de deviner un calcul de date incertain — un choix qui élimine une classe entière d'erreurs plausibles-mais-fausses.</w:t>
      </w:r>
    </w:p>
    <w:p>
      <w:pPr>
        <w:keepNext/>
        <w:spacing w:before="400" w:after="200"/>
        <w:pBdr>
          <w:bottom w:val="single" w:sz="18" w:space="4" w:color="D42A45"/>
        </w:pBdr>
      </w:pPr>
      <w:r>
        <w:rPr>
          <w:b/>
          <w:color w:val="F2405A"/>
          <w:sz w:val="36"/>
        </w:rPr>
        <w:t>7. Couche de requêtage pandas</w:t>
      </w:r>
    </w:p>
    <w:p>
      <w:r>
        <w:rPr>
          <w:b w:val="0"/>
          <w:i w:val="0"/>
        </w:rPr>
        <w:t>schema_and_whitelist.py est la source unique de vérité : VALID_METRICS, VALID_DIMENSIONS, VALID_FILTERS et KNOWN_VALUES bornent ce que le LLM peut produire. db_layer.py traduit ensuite l'intention validée en opérations pandas sur le DataFrame en mémoire — ce sont ces données qui alimentent le message texte affiché dans le chat.</w:t>
      </w:r>
    </w:p>
    <w:p>
      <w:pPr>
        <w:pStyle w:val="ListBullet"/>
      </w:pPr>
      <w:r>
        <w:t>Les filtres deviennent des masques booléens ; un filtre à valeurs multiples (comparaison « France et Maroc ») devient un .isin().</w:t>
      </w:r>
    </w:p>
    <w:p>
      <w:pPr>
        <w:pStyle w:val="ListBullet"/>
      </w:pPr>
      <w:r>
        <w:t>Les filtres numériques (range_filters) supportent &lt;, &gt;, &lt;=, &gt;=, = et between.</w:t>
      </w:r>
    </w:p>
    <w:p>
      <w:pPr>
        <w:pStyle w:val="ListBullet"/>
      </w:pPr>
      <w:r>
        <w:t>L'agrégation dépend de la métrique elle-même, pas du champ « aggregation » : le budget est toujours sommé, la probabilité de gain toujours moyennée.</w:t>
      </w:r>
    </w:p>
    <w:p>
      <w:pPr>
        <w:pStyle w:val="ListBullet"/>
      </w:pPr>
      <w:r>
        <w:t>La sortie reste une liste de dictionnaires — même contrat qu'à l'époque SQL, ce qui a permis de changer de moteur sans toucher response_builder.py.</w:t>
      </w:r>
    </w:p>
    <w:p>
      <w:r>
        <w:rPr>
          <w:b w:val="0"/>
          <w:i w:val="0"/>
        </w:rPr>
        <w:t>Simplification obtenue au passage : la version MySQL devait choisir une vue pré-agrégée selon la dimension, vérifier qu'elle supportait les filtres ET la métrique demandés, puis retomber sur un calcul groupé quand ce n'était pas le cas. pandas groupe uniformément quelle que soit la combinaison — ces trois mécanismes de repli ont disparu avec la base.</w:t>
      </w:r>
    </w:p>
    <w:p>
      <w:pPr>
        <w:keepNext/>
        <w:spacing w:before="400" w:after="200"/>
        <w:pBdr>
          <w:bottom w:val="single" w:sz="18" w:space="4" w:color="D42A45"/>
        </w:pBdr>
      </w:pPr>
      <w:r>
        <w:rPr>
          <w:b/>
          <w:color w:val="F2405A"/>
          <w:sz w:val="36"/>
        </w:rPr>
        <w:t>8. Tableaux de bord as code (dac_composer.py, sql_builder.py)</w:t>
      </w:r>
    </w:p>
    <w:p>
      <w:r>
        <w:rPr>
          <w:b w:val="0"/>
          <w:i w:val="0"/>
        </w:rPr>
        <w:t>Une question ne produit pas un graphique mais un tableau de bord entier, écrit en YAML puis rendu par Bruin DAC. Deux modules s'en chargent : dac_composer.py décide QUELS widgets composent le tableau de bord, sql_builder.py produit la requête de chacun.</w:t>
      </w:r>
    </w:p>
    <w:p>
      <w:pPr>
        <w:keepNext/>
        <w:spacing w:before="280" w:after="120"/>
      </w:pPr>
      <w:r>
        <w:rPr>
          <w:b/>
          <w:color w:val="242422"/>
          <w:sz w:val="27"/>
        </w:rPr>
        <w:t>8.1 Le LLM ne produit jamais le SQL</w:t>
      </w:r>
    </w:p>
    <w:p>
      <w:r>
        <w:rPr>
          <w:b w:val="0"/>
          <w:i w:val="0"/>
        </w:rPr>
        <w:t>C'est la décision structurante de cette partie. Il aurait été tentant de demander directement le SQL au modèle — c'est ce que font beaucoup d'outils de « text-to-SQL ». Ça aurait rouvert exactement la classe de bugs que tout le reste du projet est bâti pour empêcher : colonne inventée, valeur de filtre hallucinée, agrégation silencieusement fausse.</w:t>
      </w:r>
    </w:p>
    <w:p>
      <w:r>
        <w:rPr>
          <w:b w:val="0"/>
          <w:i w:val="0"/>
        </w:rPr>
        <w:t>Le modèle continue donc de ne produire qu'une intention validée contre la liste blanche, et sql_builder.py la traduit. Le coût de ce choix est nul en pratique : le Sheet a 18 colonnes fixes, donc la liste blanche décrit déjà l'intégralité des données interrogeables — il n'existe aucune question légitime qu'elle empêcherait de poser.</w:t>
      </w:r>
    </w:p>
    <w:p>
      <w:pPr>
        <w:pStyle w:val="ListBullet"/>
      </w:pPr>
      <w:r>
        <w:t>Les noms de colonnes proviennent toujours de la liste blanche, jamais de texte libre : une métrique ou une dimension inconnue est ignorée et remplacée par le défaut, jamais insérée dans la requête.</w:t>
      </w:r>
    </w:p>
    <w:p>
      <w:pPr>
        <w:pStyle w:val="ListBullet"/>
      </w:pPr>
      <w:r>
        <w:t>Les valeurs de filtre sont échappées (les apostrophes doublées) — les vraies données en contiennent (« Côte d'Ivoire », « Complément d'information »), et sans ce traitement la requête serait syntaxiquement cassée.</w:t>
      </w:r>
    </w:p>
    <w:p>
      <w:pPr>
        <w:keepNext/>
        <w:spacing w:before="280" w:after="120"/>
      </w:pPr>
      <w:r>
        <w:rPr>
          <w:b/>
          <w:color w:val="242422"/>
          <w:sz w:val="27"/>
        </w:rPr>
        <w:t>8.2 Composition par règles déterministes</w:t>
      </w:r>
    </w:p>
    <w:p>
      <w:r>
        <w:rPr>
          <w:b w:val="0"/>
          <w:i w:val="0"/>
        </w:rPr>
        <w:t>L'intention donne l'angle principal ; des règles fixes l'entourent de widgets complémentaires qui partagent TOUS ses filtres — sans quoi le tableau de bord mélangerait des chiffres qui ne se comparent pas.</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fill="F2405A"/>
          </w:tcPr>
          <w:p>
            <w:r/>
            <w:r>
              <w:rPr>
                <w:b/>
                <w:color w:val="FFFFFF"/>
                <w:sz w:val="19"/>
              </w:rPr>
              <w:t>Widget</w:t>
            </w:r>
          </w:p>
        </w:tc>
        <w:tc>
          <w:tcPr>
            <w:tcW w:type="dxa" w:w="4706"/>
            <w:shd w:fill="F2405A"/>
          </w:tcPr>
          <w:p>
            <w:r/>
            <w:r>
              <w:rPr>
                <w:b/>
                <w:color w:val="FFFFFF"/>
                <w:sz w:val="19"/>
              </w:rPr>
              <w:t>Rôle</w:t>
            </w:r>
          </w:p>
        </w:tc>
      </w:tr>
      <w:tr>
        <w:trPr>
          <w:cantSplit/>
        </w:trPr>
        <w:tc>
          <w:tcPr>
            <w:tcW w:type="dxa" w:w="4706"/>
          </w:tcPr>
          <w:p>
            <w:r/>
            <w:r>
              <w:rPr>
                <w:sz w:val="19"/>
              </w:rPr>
              <w:t>Totaux du périmètre</w:t>
            </w:r>
          </w:p>
        </w:tc>
        <w:tc>
          <w:tcPr>
            <w:tcW w:type="dxa" w:w="4706"/>
          </w:tcPr>
          <w:p>
            <w:r/>
            <w:r>
              <w:rPr>
                <w:sz w:val="19"/>
              </w:rPr>
              <w:t>La métrique demandée, le nombre d'opportunités et le montant pondéré, en cartes chiffrées.</w:t>
            </w:r>
          </w:p>
        </w:tc>
      </w:tr>
      <w:tr>
        <w:trPr>
          <w:cantSplit/>
        </w:trPr>
        <w:tc>
          <w:tcPr>
            <w:tcW w:type="dxa" w:w="4706"/>
            <w:shd w:fill="FAFAF8"/>
          </w:tcPr>
          <w:p>
            <w:r/>
            <w:r>
              <w:rPr>
                <w:sz w:val="19"/>
              </w:rPr>
              <w:t>Graphique principal</w:t>
            </w:r>
          </w:p>
        </w:tc>
        <w:tc>
          <w:tcPr>
            <w:tcW w:type="dxa" w:w="4706"/>
            <w:shd w:fill="FAFAF8"/>
          </w:tcPr>
          <w:p>
            <w:r/>
            <w:r>
              <w:rPr>
                <w:sz w:val="19"/>
              </w:rPr>
              <w:t>Répond directement à la question posée.</w:t>
            </w:r>
          </w:p>
        </w:tc>
      </w:tr>
      <w:tr>
        <w:trPr>
          <w:cantSplit/>
        </w:trPr>
        <w:tc>
          <w:tcPr>
            <w:tcW w:type="dxa" w:w="4706"/>
          </w:tcPr>
          <w:p>
            <w:r/>
            <w:r>
              <w:rPr>
                <w:sz w:val="19"/>
              </w:rPr>
              <w:t>Angle complémentaire</w:t>
            </w:r>
          </w:p>
        </w:tc>
        <w:tc>
          <w:tcPr>
            <w:tcW w:type="dxa" w:w="4706"/>
          </w:tcPr>
          <w:p>
            <w:r/>
            <w:r>
              <w:rPr>
                <w:sz w:val="19"/>
              </w:rPr>
              <w:t>La même métrique sur une autre dimension.</w:t>
            </w:r>
          </w:p>
        </w:tc>
      </w:tr>
      <w:tr>
        <w:trPr>
          <w:cantSplit/>
        </w:trPr>
        <w:tc>
          <w:tcPr>
            <w:tcW w:type="dxa" w:w="4706"/>
            <w:shd w:fill="FAFAF8"/>
          </w:tcPr>
          <w:p>
            <w:r/>
            <w:r>
              <w:rPr>
                <w:sz w:val="19"/>
              </w:rPr>
              <w:t>Pipeline commercial</w:t>
            </w:r>
          </w:p>
        </w:tc>
        <w:tc>
          <w:tcPr>
            <w:tcW w:type="dxa" w:w="4706"/>
            <w:shd w:fill="FAFAF8"/>
          </w:tcPr>
          <w:p>
            <w:r/>
            <w:r>
              <w:rPr>
                <w:sz w:val="19"/>
              </w:rPr>
              <w:t>L'entonnoir des statuts sur ce périmètre.</w:t>
            </w:r>
          </w:p>
        </w:tc>
      </w:tr>
      <w:tr>
        <w:trPr>
          <w:cantSplit/>
        </w:trPr>
        <w:tc>
          <w:tcPr>
            <w:tcW w:type="dxa" w:w="4706"/>
          </w:tcPr>
          <w:p>
            <w:r/>
            <w:r>
              <w:rPr>
                <w:sz w:val="19"/>
              </w:rPr>
              <w:t>Détail</w:t>
            </w:r>
          </w:p>
        </w:tc>
        <w:tc>
          <w:tcPr>
            <w:tcW w:type="dxa" w:w="4706"/>
          </w:tcPr>
          <w:p>
            <w:r/>
            <w:r>
              <w:rPr>
                <w:sz w:val="19"/>
              </w:rPr>
              <w:t>Les opportunités ligne par ligne, pour vérifier les chiffres.</w:t>
            </w:r>
          </w:p>
        </w:tc>
      </w:tr>
    </w:tbl>
    <w:p/>
    <w:p>
      <w:r>
        <w:rPr>
          <w:b w:val="0"/>
          <w:i w:val="0"/>
        </w:rPr>
        <w:t>Pourquoi des règles plutôt qu'un second appel au LLM : la pertinence de ces widgets se déduit entièrement de l'intention principale, et un appel supplémentaire par question consommerait le quota gratuit du modèle (~16 requêtes/minute) pour un gain nul.</w:t>
      </w:r>
    </w:p>
    <w:p>
      <w:pPr>
        <w:keepNext/>
        <w:spacing w:before="280" w:after="120"/>
      </w:pPr>
      <w:r>
        <w:rPr>
          <w:b/>
          <w:color w:val="242422"/>
          <w:sz w:val="27"/>
        </w:rPr>
        <w:t>8.3 Deux défauts trouvés en exécutant, pas en relisant</w:t>
      </w:r>
    </w:p>
    <w:p>
      <w:pPr>
        <w:pStyle w:val="ListBullet"/>
      </w:pPr>
      <w:r>
        <w:t>Le widget complémentaire pouvait reprendre une dimension DÉJÀ FIGÉE par un filtre : demander « budget par pays pour Risk Advisory » puis afficher « budget par practice » donnait un graphique à une seule barre, sans aucune information. La dimension complémentaire évite désormais toute dimension épinglée par un filtre — défaut invisible en lecture du code, évident dès la première exécution.</w:t>
      </w:r>
    </w:p>
    <w:p>
      <w:pPr>
        <w:pStyle w:val="ListBullet"/>
      </w:pPr>
      <w:r>
        <w:t>PyYAML repliait le SQL en style quoté, produisant un YAML correct mais illisible — ce qui ruinait l'intérêt même du « dashboard as code », dont toute la valeur est d'être relu en revue. Un dumper en bloc littéral le garde lisible tel qu'écrit.</w:t>
      </w:r>
    </w:p>
    <w:p>
      <w:pPr>
        <w:keepNext/>
        <w:spacing w:before="280" w:after="120"/>
      </w:pPr>
      <w:r>
        <w:rPr>
          <w:b/>
          <w:color w:val="242422"/>
          <w:sz w:val="27"/>
        </w:rPr>
        <w:t>8.4 L'entonnoir de vente</w:t>
      </w:r>
    </w:p>
    <w:p>
      <w:r>
        <w:rPr>
          <w:b w:val="0"/>
          <w:i w:val="0"/>
        </w:rPr>
        <w:t>Cas le plus instructif. Les étapes sont ordonnées par l'ordre RÉEL du cycle de vente, via un CASE explicite dans la requête — jamais par volume, qui donnerait un entonnoir ne racontant rien du parcours d'une opportunité. Les statuts de sortie (perdu, NO GO, infructueux…) en sont exclus : ce sont des sorties du pipeline, pas des étapes que chaque opportunité traverse.</w:t>
      </w:r>
    </w:p>
    <w:p>
      <w:r>
        <w:rPr>
          <w:b w:val="0"/>
          <w:i w:val="0"/>
        </w:rPr>
        <w:t>À noter : avec Vega-Lite, cette forme exigeait de précalculer en Python une géométrie symétrique (bornes gauche/droite centrées sur zéro) car la bibliothèque ne la produit pas nativement. DAC ayant un type funnel natif, ce contournement a disparu avec la migration.</w:t>
      </w:r>
    </w:p>
    <w:p>
      <w:pPr>
        <w:keepNext/>
        <w:spacing w:before="400" w:after="200"/>
        <w:pBdr>
          <w:bottom w:val="single" w:sz="18" w:space="4" w:color="D42A45"/>
        </w:pBdr>
      </w:pPr>
      <w:r>
        <w:rPr>
          <w:b/>
          <w:color w:val="F2405A"/>
          <w:sz w:val="36"/>
        </w:rPr>
        <w:t>9. Règles métier et assistance (business_rules.py, intent_refiner.py)</w:t>
      </w:r>
    </w:p>
    <w:p>
      <w:r>
        <w:rPr>
          <w:b w:val="0"/>
          <w:i w:val="0"/>
        </w:rPr>
        <w:t>Trois familles de règles décident de ce qui est compté, de la forme retenue pour le montrer, et de ce que devient une demande d'ajustement. Elles vivent hors du modèle de langage : ce sont des décisions métier, elles doivent être relisibles, testables et identiques d'une exécution à l'autre.</w:t>
      </w:r>
    </w:p>
    <w:p>
      <w:pPr>
        <w:keepNext/>
        <w:spacing w:before="280" w:after="120"/>
      </w:pPr>
      <w:r>
        <w:rPr>
          <w:b/>
          <w:color w:val="242422"/>
          <w:sz w:val="27"/>
        </w:rPr>
        <w:t>9.1 Les affaires perdues sortent des chiffres par défaut</w:t>
      </w:r>
    </w:p>
    <w:p>
      <w:r>
        <w:rPr>
          <w:b w:val="0"/>
          <w:i w:val="0"/>
        </w:rPr>
        <w:t>Un « budget total » de 170,0 M DT additionnait 66,1 M DT d'affaires définitivement mortes — Offre perdue, Infructueux, NO GO, Hors scope, Non shortlisté. Le chiffre était exact et inutilisable : personne ne décide sur un portefeuille qui compte ses échecs comme du potentiel. La liste LOST_STATUSES est donc retirée par défaut de toutes les métriques et de tous les graphiques.</w:t>
      </w:r>
    </w:p>
    <w:p>
      <w:pPr>
        <w:spacing w:before="40"/>
      </w:pPr>
      <w:r>
        <w:rPr>
          <w:i/>
          <w:color w:val="52514E"/>
          <w:sz w:val="19"/>
        </w:rPr>
        <w:t>Le point délicat est la SYMÉTRIE. Deux moteurs répondent à la même question : le SQL des widgets (sql_builder) et le pandas du message texte (db_layer). Si un seul appliquait la règle, le graphique et la phrase juste au-dessus annonceraient deux totaux différents. Les deux l'appliquent, et l'égalité a été vérifiée sur les vraies données — 98 320 001 € des deux côtés avant récupération des lignes rejetées.</w:t>
      </w:r>
    </w:p>
    <w:p>
      <w:r>
        <w:rPr>
          <w:b w:val="0"/>
          <w:i w:val="0"/>
        </w:rPr>
        <w:t>C'est un défaut, pas une censure. Dès que la question filtre elle-même sur un statut, l'exclusion est levée : « liste des offres perdues » doit répondre, pas renvoyer un tableau vide. Une simple répartition PAR statut ne la lève pas, sans quoi les barres ne se réconcilieraient plus avec le total affiché au-dessus d'elles.</w:t>
      </w:r>
    </w:p>
    <w:p>
      <w:pPr>
        <w:keepNext/>
        <w:spacing w:before="280" w:after="120"/>
      </w:pPr>
      <w:r>
        <w:rPr>
          <w:b/>
          <w:color w:val="242422"/>
          <w:sz w:val="27"/>
        </w:rPr>
        <w:t>9.2 L'entonnoir, reconstruit depuis un instantané</w:t>
      </w:r>
    </w:p>
    <w:p>
      <w:r>
        <w:rPr>
          <w:b w:val="0"/>
          <w:i w:val="0"/>
        </w:rPr>
        <w:t>FUNNEL_STAGE_ORDER décrit les 12 étapes du pipeline, de Lead à Offre signée. La subtilité est que le statut est l'état COURANT d'une opportunité, pas son historique : compter les opportunités par statut ne décroît pas et ne forme donc aucun entonnoir. La reconstruction cumule depuis la fin — « ayant atteint au moins cette étape » — ce qui décroît par construction. Sur les données réelles : 225 à l'entrée, 32 signées, et un taux de passage jamais supérieur à 100 %. Le dernier, gagnée → signée à 36 %, est en soi une information métier.</w:t>
      </w:r>
    </w:p>
    <w:p>
      <w:pPr>
        <w:spacing w:before="40"/>
      </w:pPr>
      <w:r>
        <w:rPr>
          <w:i/>
          <w:color w:val="52514E"/>
          <w:sz w:val="19"/>
        </w:rPr>
        <w:t>Deux statuts ont été ajoutés après vérification auprès du métier : « Offre signée », qui n'était dans aucune étape alors que c'est l'étape finale (32 opportunités, 13,1 M DT, invisibles), et « En attente du plan de charge », présent dans les données mais absent de la liste blanche — donc rejeté à chaque chargement. Ce genre de question ne se devine pas : elle se pose.</w:t>
      </w:r>
    </w:p>
    <w:p>
      <w:pPr>
        <w:keepNext/>
        <w:spacing w:before="280" w:after="120"/>
      </w:pPr>
      <w:r>
        <w:rPr>
          <w:b/>
          <w:color w:val="242422"/>
          <w:sz w:val="27"/>
        </w:rPr>
        <w:t>9.3 Le type de graphique est arbitré sur les données</w:t>
      </w:r>
    </w:p>
    <w:p>
      <w:r>
        <w:rPr>
          <w:b w:val="0"/>
          <w:i w:val="0"/>
        </w:rPr>
        <w:t>Le modèle propose une forme à partir des mots de la question ; choose_chart_type la confronte ensuite à la forme réelle des données. « Répartition par pays » contient bien le mot qui appelle un camembert, mais il y a 19 pays : au-delà de six parts, deux angles voisins ne se comparent plus. La cardinalité est mesurée APRÈS application des filtres — une dimension à 19 valeurs peut n'en avoir que trois sur un périmètre restreint, et le camembert redevient alors le bon choix.</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fill="F2405A"/>
          </w:tcPr>
          <w:p>
            <w:r/>
            <w:r>
              <w:rPr>
                <w:b/>
                <w:color w:val="FFFFFF"/>
                <w:sz w:val="19"/>
              </w:rPr>
              <w:t>Situation</w:t>
            </w:r>
          </w:p>
        </w:tc>
        <w:tc>
          <w:tcPr>
            <w:tcW w:type="dxa" w:w="3137"/>
            <w:shd w:fill="F2405A"/>
          </w:tcPr>
          <w:p>
            <w:r/>
            <w:r>
              <w:rPr>
                <w:b/>
                <w:color w:val="FFFFFF"/>
                <w:sz w:val="19"/>
              </w:rPr>
              <w:t>Forme retenue</w:t>
            </w:r>
          </w:p>
        </w:tc>
        <w:tc>
          <w:tcPr>
            <w:tcW w:type="dxa" w:w="3137"/>
            <w:shd w:fill="F2405A"/>
          </w:tcPr>
          <w:p>
            <w:r/>
            <w:r>
              <w:rPr>
                <w:b/>
                <w:color w:val="FFFFFF"/>
                <w:sz w:val="19"/>
              </w:rPr>
              <w:t>Pourquoi</w:t>
            </w:r>
          </w:p>
        </w:tc>
      </w:tr>
      <w:tr>
        <w:trPr>
          <w:cantSplit/>
        </w:trPr>
        <w:tc>
          <w:tcPr>
            <w:tcW w:type="dxa" w:w="3137"/>
          </w:tcPr>
          <w:p>
            <w:r/>
            <w:r>
              <w:rPr>
                <w:sz w:val="19"/>
              </w:rPr>
              <w:t>Camembert sur plus de 6 valeurs</w:t>
            </w:r>
          </w:p>
        </w:tc>
        <w:tc>
          <w:tcPr>
            <w:tcW w:type="dxa" w:w="3137"/>
          </w:tcPr>
          <w:p>
            <w:r/>
            <w:r>
              <w:rPr>
                <w:sz w:val="19"/>
              </w:rPr>
              <w:t>Barres</w:t>
            </w:r>
          </w:p>
        </w:tc>
        <w:tc>
          <w:tcPr>
            <w:tcW w:type="dxa" w:w="3137"/>
          </w:tcPr>
          <w:p>
            <w:r/>
            <w:r>
              <w:rPr>
                <w:sz w:val="19"/>
              </w:rPr>
              <w:t>Les angles ne se distinguent plus.</w:t>
            </w:r>
          </w:p>
        </w:tc>
      </w:tr>
      <w:tr>
        <w:trPr>
          <w:cantSplit/>
        </w:trPr>
        <w:tc>
          <w:tcPr>
            <w:tcW w:type="dxa" w:w="3137"/>
            <w:shd w:fill="FAFAF8"/>
          </w:tcPr>
          <w:p>
            <w:r/>
            <w:r>
              <w:rPr>
                <w:sz w:val="19"/>
              </w:rPr>
              <w:t>Camembert d'une moyenne</w:t>
            </w:r>
          </w:p>
        </w:tc>
        <w:tc>
          <w:tcPr>
            <w:tcW w:type="dxa" w:w="3137"/>
            <w:shd w:fill="FAFAF8"/>
          </w:tcPr>
          <w:p>
            <w:r/>
            <w:r>
              <w:rPr>
                <w:sz w:val="19"/>
              </w:rPr>
              <w:t>Barres</w:t>
            </w:r>
          </w:p>
        </w:tc>
        <w:tc>
          <w:tcPr>
            <w:tcW w:type="dxa" w:w="3137"/>
            <w:shd w:fill="FAFAF8"/>
          </w:tcPr>
          <w:p>
            <w:r/>
            <w:r>
              <w:rPr>
                <w:sz w:val="19"/>
              </w:rPr>
              <w:t>Une moyenne ne s'additionne pas : elle ne forme pas des parts d'un tout.</w:t>
            </w:r>
          </w:p>
        </w:tc>
      </w:tr>
      <w:tr>
        <w:trPr>
          <w:cantSplit/>
        </w:trPr>
        <w:tc>
          <w:tcPr>
            <w:tcW w:type="dxa" w:w="3137"/>
          </w:tcPr>
          <w:p>
            <w:r/>
            <w:r>
              <w:rPr>
                <w:sz w:val="19"/>
              </w:rPr>
              <w:t>Camembert d'un top N</w:t>
            </w:r>
          </w:p>
        </w:tc>
        <w:tc>
          <w:tcPr>
            <w:tcW w:type="dxa" w:w="3137"/>
          </w:tcPr>
          <w:p>
            <w:r/>
            <w:r>
              <w:rPr>
                <w:sz w:val="19"/>
              </w:rPr>
              <w:t>Barres</w:t>
            </w:r>
          </w:p>
        </w:tc>
        <w:tc>
          <w:tcPr>
            <w:tcW w:type="dxa" w:w="3137"/>
          </w:tcPr>
          <w:p>
            <w:r/>
            <w:r>
              <w:rPr>
                <w:sz w:val="19"/>
              </w:rPr>
              <w:t>Les parts ne totalisent pas le portefeuille, les pourcentages seraient faux.</w:t>
            </w:r>
          </w:p>
        </w:tc>
      </w:tr>
      <w:tr>
        <w:trPr>
          <w:cantSplit/>
        </w:trPr>
        <w:tc>
          <w:tcPr>
            <w:tcW w:type="dxa" w:w="3137"/>
            <w:shd w:fill="FAFAF8"/>
          </w:tcPr>
          <w:p>
            <w:r/>
            <w:r>
              <w:rPr>
                <w:sz w:val="19"/>
              </w:rPr>
              <w:t>Courbe sur une dimension non temporelle</w:t>
            </w:r>
          </w:p>
        </w:tc>
        <w:tc>
          <w:tcPr>
            <w:tcW w:type="dxa" w:w="3137"/>
            <w:shd w:fill="FAFAF8"/>
          </w:tcPr>
          <w:p>
            <w:r/>
            <w:r>
              <w:rPr>
                <w:sz w:val="19"/>
              </w:rPr>
              <w:t>Barres</w:t>
            </w:r>
          </w:p>
        </w:tc>
        <w:tc>
          <w:tcPr>
            <w:tcW w:type="dxa" w:w="3137"/>
            <w:shd w:fill="FAFAF8"/>
          </w:tcPr>
          <w:p>
            <w:r/>
            <w:r>
              <w:rPr>
                <w:sz w:val="19"/>
              </w:rPr>
              <w:t>Relier des catégories suggère une progression qui n'existe pas.</w:t>
            </w:r>
          </w:p>
        </w:tc>
      </w:tr>
      <w:tr>
        <w:trPr>
          <w:cantSplit/>
        </w:trPr>
        <w:tc>
          <w:tcPr>
            <w:tcW w:type="dxa" w:w="3137"/>
          </w:tcPr>
          <w:p>
            <w:r/>
            <w:r>
              <w:rPr>
                <w:sz w:val="19"/>
              </w:rPr>
              <w:t>Barres sur une dimension temporelle</w:t>
            </w:r>
          </w:p>
        </w:tc>
        <w:tc>
          <w:tcPr>
            <w:tcW w:type="dxa" w:w="3137"/>
          </w:tcPr>
          <w:p>
            <w:r/>
            <w:r>
              <w:rPr>
                <w:sz w:val="19"/>
              </w:rPr>
              <w:t>Courbe</w:t>
            </w:r>
          </w:p>
        </w:tc>
        <w:tc>
          <w:tcPr>
            <w:tcW w:type="dxa" w:w="3137"/>
          </w:tcPr>
          <w:p>
            <w:r/>
            <w:r>
              <w:rPr>
                <w:sz w:val="19"/>
              </w:rPr>
              <w:t>La question porte sur le mouvement d'ensemble, pas sur des comparaisons deux à deux.</w:t>
            </w:r>
          </w:p>
        </w:tc>
      </w:tr>
      <w:tr>
        <w:trPr>
          <w:cantSplit/>
        </w:trPr>
        <w:tc>
          <w:tcPr>
            <w:tcW w:type="dxa" w:w="3137"/>
            <w:shd w:fill="FAFAF8"/>
          </w:tcPr>
          <w:p>
            <w:r/>
            <w:r>
              <w:rPr>
                <w:sz w:val="19"/>
              </w:rPr>
              <w:t>Tableau, entonnoir, nuage, carte de chaleur</w:t>
            </w:r>
          </w:p>
        </w:tc>
        <w:tc>
          <w:tcPr>
            <w:tcW w:type="dxa" w:w="3137"/>
            <w:shd w:fill="FAFAF8"/>
          </w:tcPr>
          <w:p>
            <w:r/>
            <w:r>
              <w:rPr>
                <w:sz w:val="19"/>
              </w:rPr>
              <w:t>Inchangée</w:t>
            </w:r>
          </w:p>
        </w:tc>
        <w:tc>
          <w:tcPr>
            <w:tcW w:type="dxa" w:w="3137"/>
            <w:shd w:fill="FAFAF8"/>
          </w:tcPr>
          <w:p>
            <w:r/>
            <w:r>
              <w:rPr>
                <w:sz w:val="19"/>
              </w:rPr>
              <w:t>Formes demandées nommément : les remplacer trahirait la question.</w:t>
            </w:r>
          </w:p>
        </w:tc>
      </w:tr>
    </w:tbl>
    <w:p/>
    <w:p>
      <w:r>
        <w:rPr>
          <w:b w:val="0"/>
          <w:i w:val="0"/>
        </w:rPr>
        <w:t>Quand la forme change, la raison est affichée sous le graphique. Voir des barres après avoir demandé un camembert, sans explication, donne le sentiment que l'outil n'a pas compris la question.</w:t>
      </w:r>
    </w:p>
    <w:p>
      <w:pPr>
        <w:keepNext/>
        <w:spacing w:before="280" w:after="120"/>
      </w:pPr>
      <w:r>
        <w:rPr>
          <w:b/>
          <w:color w:val="242422"/>
          <w:sz w:val="27"/>
        </w:rPr>
        <w:t>9.4 Les retouches sont appliquées par le code, pas par le modèle</w:t>
      </w:r>
    </w:p>
    <w:p>
      <w:r>
        <w:rPr>
          <w:b w:val="0"/>
          <w:i w:val="0"/>
        </w:rPr>
        <w:t>« En camembert », « top 5 », « par practice », « sans filtre » ne sont pas des questions : ce sont des ajustements du tableau de bord affiché. Les traiter comme des questions neuves faisait perdre le contexte — « par pays » repartait sur le nombre d'opportunités alors que la question d'avant portait sur le budget — et consommait une requête du quota gratuit pour un changement que le code sait appliquer instantanément.</w:t>
      </w:r>
    </w:p>
    <w:p>
      <w:r>
        <w:rPr>
          <w:b w:val="0"/>
          <w:i w:val="0"/>
        </w:rPr>
        <w:t>Ces retouches se TAPENT, elles ne se cliquent pas. Une rangée de raccourcis avait été essayée puis retirée : décrire ce que l'on veut est plus expressif qu'un choix parmi quatre, et la présence des boutons suggérait à tort que le reste ne se demandait pas.</w:t>
      </w:r>
    </w:p>
    <w:p>
      <w:pPr>
        <w:spacing w:before="40"/>
      </w:pPr>
      <w:r>
        <w:rPr>
          <w:i/>
          <w:color w:val="52514E"/>
          <w:sz w:val="19"/>
        </w:rPr>
        <w:t>Le garde-fou est le cœur du mécanisme. Une retouche hérite EN SILENCE de tout le contexte précédent : si un seul mot de la demande n'a pas été compris, hériter revient à répondre à une autre question. Chaque mot porteur de sens doit donc avoir été consommé par une règle ; au moindre reliquat, la main est rendue au chemin complet. Le premier jet ne vérifiait que la longueur, et servait « Risk Advisory » à quelqu'un qui demandait le Maroc.</w:t>
      </w:r>
    </w:p>
    <w:p>
      <w:r>
        <w:rPr>
          <w:b w:val="0"/>
          <w:i w:val="0"/>
        </w:rPr>
        <w:t>Une règle secondaire mérite d'être notée : changer d'axe retire le filtre à valeur unique qui figeait cette même colonne, sinon grouper PAR practice alors qu'un filtre fige UNE practice donnerait un graphique à une seule barre. Les filtres à plusieurs valeurs sont épargnés — « compare la France et le Maroc » veut précisément cet axe ET cette restriction.</w:t>
      </w:r>
    </w:p>
    <w:p>
      <w:pPr>
        <w:keepNext/>
        <w:spacing w:before="280" w:after="120"/>
      </w:pPr>
      <w:r>
        <w:rPr>
          <w:b/>
          <w:color w:val="242422"/>
          <w:sz w:val="27"/>
        </w:rPr>
        <w:t>9.5 « Offre remise » est un terme métier, pas un statut</w:t>
      </w:r>
    </w:p>
    <w:p>
      <w:r>
        <w:rPr>
          <w:b w:val="0"/>
          <w:i w:val="0"/>
        </w:rPr>
        <w:t>Le statut décrit l'état COURANT d'une opportunité, pas son historique. Une offre partie chez le client et gagnée depuis n'est plus au statut « Offre remise » : compter ce seul statut donne 4 offres là où 57 ont réellement été déposées. Sont donc « remises » les opportunités dont le statut ATTESTE le dépôt — Offre remise, En attente du plan de charge, Offre gagnée, Offre signée, Offre perdue.</w:t>
      </w:r>
    </w:p>
    <w:p>
      <w:pPr>
        <w:spacing w:before="40"/>
      </w:pPr>
      <w:r>
        <w:rPr>
          <w:i/>
          <w:color w:val="52514E"/>
          <w:sz w:val="19"/>
        </w:rPr>
        <w:t>Trois définitions étaient défendables selon qu'on y range les appels d'offres infructueux et les candidatures non shortlistées — 57, 62 ou 67 offres, pour un taux de réussite de 53 %, 48 % ou 45 %. L'écart est trop grand pour être tranché par le code : la question a été posée au métier, qui a retenu la définition la plus stricte. Il n'existe par ailleurs aucune colonne « date de remise » : l'échéance en tient lieu, la date limite de dépôt étant, pour un appel d'offres, la date de remise.</w:t>
      </w:r>
    </w:p>
    <w:p>
      <w:r>
        <w:rPr>
          <w:b w:val="0"/>
          <w:i w:val="0"/>
        </w:rPr>
        <w:t>Filtrer sur ces statuts lève au passage l'exclusion par défaut des affaires perdues (section 9.1) — ce qui est exactement voulu : une offre perdue a bien été remise, et sans cela la question « sur le total remis, combien de perdues ? » n'aurait pas de réponse. La définition sert le dashboard ET le chat : sans règle dédiée, la même question posée dans la conversation aurait répondu 4.</w:t>
      </w:r>
    </w:p>
    <w:p>
      <w:r>
        <w:rPr>
          <w:b w:val="0"/>
          <w:i w:val="0"/>
        </w:rPr>
        <w:t>Le taux de réussite se calcule sur les offres DÉCIDÉES, pas sur le total remis : une offre en attente n'est ni un succès ni un échec, la compter au dénominateur écraserait le taux sans rien dire de vrai.</w:t>
      </w:r>
    </w:p>
    <w:p>
      <w:pPr>
        <w:keepNext/>
        <w:spacing w:before="280" w:after="120"/>
      </w:pPr>
      <w:r>
        <w:rPr>
          <w:b/>
          <w:color w:val="242422"/>
          <w:sz w:val="27"/>
        </w:rPr>
        <w:t>9.6 Affaires chaudes, et le piège du range_filter</w:t>
      </w:r>
    </w:p>
    <w:p>
      <w:r>
        <w:rPr>
          <w:b w:val="0"/>
          <w:i w:val="0"/>
        </w:rPr>
        <w:t>Une « affaire chaude » est une affaire qu'on va PROBABLEMENT gagner et qui n'est PAS ENCORE gagnée : statut « Offre remise », OU probabilité de gain dans [80 %, 100 %[. Une réunion, pas une intersection — l'un des deux critères suffit. La borne haute est exclue parce que 100 % n'est pas une prévision dans ces données mais un constat : les 88 lignes à 1,0 sont toutes « Offre gagnée » ou « Offre signée ». Le portefeuille chaud compte ainsi 9 opportunités — celles qu'il reste à aller chercher. Les offres perdues en sortent d'elles-mêmes sans qu'aucun filtre soit nécessaire : ni leur statut ni leur pondération, vide dans le Sheet, ne les retiennent.</w:t>
      </w:r>
    </w:p>
    <w:p>
      <w:pPr>
        <w:spacing w:before="40"/>
      </w:pPr>
      <w:r>
        <w:rPr>
          <w:i/>
          <w:color w:val="52514E"/>
          <w:sz w:val="19"/>
        </w:rPr>
        <w:t>Ce périmètre a d'abord été restreint aux offres encore en jeu (14 affaires), puis élargi sur décision métier. La question qui l'a déclenché — « pourquoi des offres à 100 % n'apparaissent-elles pas ? » — a d'ailleurs mis au jour une convention de saisie : la pondération est une PRÉVISION tant que l'offre est ouverte (40 % ou 80 %), un CONSTAT à 100 % une fois gagnée, et vide une fois perdue. Les 88 opportunités à 100 % sont exactement les 88 déjà gagnées ou signées, sans une exception.</w:t>
      </w:r>
    </w:p>
    <w:p>
      <w:r>
        <w:rPr>
          <w:b w:val="0"/>
          <w:i w:val="0"/>
        </w:rPr>
        <w:t>L'indicateur ne mesure donc plus un pipeline à pousser mais un portefeuille à forte confiance, mêlant l'acquis et l'à-venir. Les intitulés le disent : « Budget à forte confiance » plutôt que « Budget en jeu », qui laissait entendre une affaire encore ouverte.</w:t>
      </w:r>
    </w:p>
    <w:p>
      <w:r>
        <w:rPr>
          <w:b w:val="0"/>
          <w:i w:val="0"/>
        </w:rPr>
        <w:t>Le détail occupe sa propre ligne, répartie en TROIS tables côte à côte. Le tableau de DAC ne défilant pas verticalement, sa hauteur est son nombre de lignes : la répartir en trois la divise par trois sans en retirer une seule, ce qui était la contrainte. NTILE(3) plutôt qu'un seuil de rang en dur, le total changeant avec le filtre de période — 35/35/35 sur l'historique, 19/18/18 par défaut, rangs continus et sans doublon. Le rang est affiché : trois listes triées côte à côte ne diraient pas, sinon, laquelle vient en premier.</w:t>
      </w:r>
    </w:p>
    <w:p>
      <w:pPr>
        <w:spacing w:before="40"/>
      </w:pPr>
      <w:r>
        <w:rPr>
          <w:i/>
          <w:color w:val="52514E"/>
          <w:sz w:val="19"/>
        </w:rPr>
        <w:t>Le widget tableau de Bruin DAC ne défile pas verticalement : son élément externe est un simple overflow-x-auto, sans hauteur ni overflow-y, dans un cadre overflow-hidden. Borner la hauteur de la ligne le CLIPPE au lieu de le rendre défilable, et aucun contournement n'existe — le schéma refuse height sur un widget, le thème refuse le CSS, le TSX partage le même modèle que le YAML, et le markdown d'un widget text est rendu sans rehype-raw, donc sans HTML brut. Un rendu React hors de l'iframe a été essayé puis retiré : il donnait la molette mais sortait le tableau du dashboard.</w:t>
      </w:r>
    </w:p>
    <w:p>
      <w:pPr>
        <w:spacing w:before="40"/>
      </w:pPr>
      <w:r>
        <w:rPr>
          <w:i/>
          <w:color w:val="52514E"/>
          <w:sz w:val="19"/>
        </w:rPr>
        <w:t>Les montants sont en dinars, et DAC ne sait pas l'ecrire a cote du nombre : son schema refuse suffix, unit et prefix sur une valeur, et son format currency applique le prefixe $ de son formateur d3 — soit des dollars affiches la ou il s'agit de dinars. L'unite vit donc sur les LIBELLES (nom de KPI, titre d'axe, en-tete de colonne), ou elle se lit tout aussi bien sans empecher le nombre de rester triable et aligne a droite.</w:t>
      </w:r>
    </w:p>
    <w:p>
      <w:r>
        <w:rPr>
          <w:b w:val="0"/>
          <w:i w:val="0"/>
        </w:rPr>
        <w:t>Le tableau passant par pandas et les KPI par du SQL, un test confronte les deux définitions sur les mêmes lignes. Il a révélé un piège de DuckDB : « NaN &gt;= 0.8 » y vaut VRAI. Le vrai export écrit des NULL, donc rien n'est faux en production, mais s'il écrivait des NaN le KPI des affaires chaudes compterait les 170 lignes sans pondération sans qu'aucune requête n'échoue. Un test l'interdit désormais.</w:t>
      </w:r>
    </w:p>
    <w:p>
      <w:r>
        <w:rPr>
          <w:b w:val="0"/>
          <w:i w:val="0"/>
        </w:rPr>
        <w:t>L'application connaissait déjà le terme « offre pondérée » avec la même intention mais un périmètre plus étroit. Deux définitions divergentes pour une même réalité auraient donné deux chiffres selon le mot employé : elles sont unifiées dans business_rules.HOT_DEAL_STATUSES, partagée par le dashboard et par le chat.</w:t>
      </w:r>
    </w:p>
    <w:p>
      <w:pPr>
        <w:spacing w:before="40"/>
      </w:pPr>
      <w:r>
        <w:rPr>
          <w:i/>
          <w:color w:val="52514E"/>
          <w:sz w:val="19"/>
        </w:rPr>
        <w:t>Brancher ce terme a révélé un même défaut logé dans TROIS modules. db_layer, sql_builder et response_builder ne s'accordaient pas sur ce que signifie un range_filter : deux le traitaient comme une demande de liste brute, le troisième non. « Affaires chaudes par practice » renvoyait donc les lignes brutes dans le chat pendant que le dashboard groupait, et « combien d'affaires chaudes ? » répondait « 1 opportunité » — le nombre de LIGNES du résultat agrégé, au lieu des 14 qu'il contenait.</w:t>
      </w:r>
    </w:p>
    <w:p>
      <w:r>
        <w:rPr>
          <w:b w:val="0"/>
          <w:i w:val="0"/>
        </w:rPr>
        <w:t>Le seuil est un MINIMUM : 90 % ou 100 % entrent aussi dans les affaires chaudes. Encore fallait-il le prouver — sur les vraies données, aucune affaire encore en jeu ne dépasse 80 %, donc remplacer « &gt;= » par « = » n'aurait changé aucun chiffre et serait passé inaperçu. dac check prouve qu'une requête s'exécute, pas qu'elle sélectionne les bonnes lignes : un fichier de tests dédié exécute désormais le SQL de la vue d'ensemble sur des lignes fabriquées, et la protection a été vérifiée par mutation.</w:t>
      </w:r>
    </w:p>
    <w:p>
      <w:pPr>
        <w:spacing w:before="40"/>
      </w:pPr>
      <w:r>
        <w:rPr>
          <w:i/>
          <w:color w:val="52514E"/>
          <w:sz w:val="19"/>
        </w:rPr>
        <w:t>Découverte au passage : dans ce Sheet, 100 % n'est pas une prévision mais un CONSTAT. Les 88 opportunités à 1,0 sont exactement les 88 déjà gagnées ou signées — correspondance parfaite. Aucune affaire chaude n'apparaît donc à 100 %, non par un défaut du filtre, mais parce qu'une affaire dont la décision est tombée n'est plus en jeu.</w:t>
      </w:r>
    </w:p>
    <w:p>
      <w:r>
        <w:rPr>
          <w:b w:val="0"/>
          <w:i w:val="0"/>
        </w:rPr>
        <w:t>Borner une valeur n'est pas demander une liste. Le souhait d'une liste s'exprime par use_raw_table ou chart_type == « table », et les trois modules appliquent maintenant cette règle. Deux tests de non-régression la verrouillent, un par module concerné.</w:t>
      </w:r>
    </w:p>
    <w:p>
      <w:pPr>
        <w:keepNext/>
        <w:spacing w:before="280" w:after="120"/>
      </w:pPr>
      <w:r>
        <w:rPr>
          <w:b/>
          <w:color w:val="242422"/>
          <w:sz w:val="27"/>
        </w:rPr>
        <w:t>9.7 Compléter plutôt que remplacer</w:t>
      </w:r>
    </w:p>
    <w:p>
      <w:r>
        <w:rPr>
          <w:b w:val="0"/>
          <w:i w:val="0"/>
        </w:rPr>
        <w:t>« Ajoute le budget par pays » place un widget de plus sur le tableau de bord affiché au lieu de le recomposer. Le verbe ne change rien à l'analyse demandée — même métrique, même axe, mêmes filtres — seulement la façon dont le résultat rejoint l'écran : d'où un simple drapeau porté par l'intention, plutôt qu'un chemin de composition parallèle à maintenir.</w:t>
      </w:r>
    </w:p>
    <w:p>
      <w:pPr>
        <w:spacing w:before="40"/>
      </w:pPr>
      <w:r>
        <w:rPr>
          <w:i/>
          <w:color w:val="52514E"/>
          <w:sz w:val="19"/>
        </w:rPr>
        <w:t>Limite acceptée volontairement : l'ajout ne complète PAS la vue d'ensemble, seulement le tableau de bord de travail. Les widgets de la vue d'ensemble suivent les filtres de période et de practice de la page, qu'un widget ajouté ne connaît pas — déplacer le filtre mettrait 24 widgets à jour et pas le 25e. Un piège silencieux vaut moins qu'une limite énoncée.</w:t>
      </w:r>
    </w:p>
    <w:p>
      <w:r>
        <w:rPr>
          <w:b w:val="0"/>
          <w:i w:val="0"/>
        </w:rPr>
        <w:t>Un ajout déjà présent est signalé comme tel plutôt qu'annoncé à tort, et un plafond de 24 widgets empêche la page de devenir un mur où l'on ne trouve plus rien.</w:t>
      </w:r>
    </w:p>
    <w:p>
      <w:pPr>
        <w:keepNext/>
        <w:spacing w:before="280" w:after="120"/>
      </w:pPr>
      <w:r>
        <w:rPr>
          <w:b/>
          <w:color w:val="242422"/>
          <w:sz w:val="27"/>
        </w:rPr>
        <w:t>9.8 Dire ce qui a changé</w:t>
      </w:r>
    </w:p>
    <w:p>
      <w:r>
        <w:rPr>
          <w:b w:val="0"/>
          <w:i w:val="0"/>
        </w:rPr>
        <w:t>Une demande de suite modifie le tableau de bord affiché. Sans le dire, l'utilisateur voit l'iframe se recharger sans savoir ce qui a été pris en compte. La phrase est construite en comparant les deux intentions — jamais par le modèle : elle décrit ce qui a réellement changé dans les requêtes, pas ce qu'on croit avoir compris.</w:t>
      </w:r>
    </w:p>
    <w:p>
      <w:pPr>
        <w:spacing w:before="40"/>
      </w:pPr>
      <w:r>
        <w:rPr>
          <w:i/>
          <w:color w:val="52514E"/>
          <w:sz w:val="19"/>
        </w:rPr>
        <w:t>Deux cas restaient muets, et seule l'exécution les a montrés. « En camembert » sur dix-neuf pays ne produisait AUCUN message : la forme était bien refusée, mais la raison ne vivait que dans le tableau de bord, et rien d'autre n'ayant bougé, la comparaison ne trouvait rien à dire. Une demande sans effet — un filtre déjà posé — était tout aussi silencieuse. Chaque demande reçoit désormais une réponse explicite.</w:t>
      </w:r>
    </w:p>
    <w:p>
      <w:r>
        <w:rPr>
          <w:b w:val="0"/>
          <w:i w:val="0"/>
        </w:rPr>
        <w:t>Au-delà de trois différences, rien n'est annoncé : le mot « modifié » deviendrait trompeur, ce n'est plus une retouche mais une autre analyse.</w:t>
      </w:r>
    </w:p>
    <w:p>
      <w:pPr>
        <w:keepNext/>
        <w:spacing w:before="280" w:after="120"/>
      </w:pPr>
      <w:r>
        <w:rPr>
          <w:b/>
          <w:color w:val="242422"/>
          <w:sz w:val="27"/>
        </w:rPr>
        <w:t>9.9 Un seul cadre, cinq sections, modifié sur place</w:t>
      </w:r>
    </w:p>
    <w:p>
      <w:r>
        <w:rPr>
          <w:b w:val="0"/>
          <w:i w:val="0"/>
        </w:rPr>
        <w:t>Chaque question réécrit _principal.yml, dont le nom de dashboard ne change jamais — donc l'URL de l'iframe non plus. L'utilisateur voit son tableau de bord se transformer au lieu d'en voir apparaître un de plus. En parallèle, un instantané _analyse_&lt;hash&gt;.yml fige le résultat de cette question précise : c'est ce qui permet à la liste déroulante du chat de rouvrir une analyse passée telle qu'elle était, sans repasser par le modèle.</w:t>
      </w:r>
    </w:p>
    <w:p>
      <w:r>
        <w:rPr>
          <w:b w:val="0"/>
          <w:i w:val="0"/>
        </w:rPr>
        <w:t>Le nom de l'instantané vient de l'objectif résolu et non de la phrase tapée : nommer un tableau de bord « En camembert » ne dirait rien de ce qu'il montre, et deux formulations aboutissant à la même analyse partagent ainsi un seul fichier au lieu d'en accumuler deux identiques.</w:t>
      </w:r>
    </w:p>
    <w:p>
      <w:r>
        <w:rPr>
          <w:b w:val="0"/>
          <w:i w:val="0"/>
        </w:rPr>
        <w:t>Le tableau de bord principal, lui, est découpé en cinq dashboards (accueil.yml et section_*.yml) que la barre d'onglets fait défiler. Le découpage n'est pas un choix d'esthétique : DAC ne gère pas les dashboards multi-pages — la clé « pages » est rejetée par son schéma — et douze rangées à faire défiler en sachant où regarder valaient moins que cinq pages qu'on choisit. Les cinq fichiers sont découpés par scripts/generate_accueil.py à partir du même document assemblé, aux mêmes intertitres qui séparaient déjà les groupes : les règles métier restent donc écrites en un seul endroit.</w:t>
      </w:r>
    </w:p>
    <w:p>
      <w:pPr>
        <w:keepNext/>
        <w:spacing w:before="280" w:after="120"/>
      </w:pPr>
      <w:r>
        <w:rPr>
          <w:b/>
          <w:color w:val="242422"/>
          <w:sz w:val="27"/>
        </w:rPr>
        <w:t>9.10 « Offres gagnées » est un terme métier, comme « offre remise »</w:t>
      </w:r>
    </w:p>
    <w:p>
      <w:r>
        <w:rPr>
          <w:b w:val="0"/>
          <w:i w:val="0"/>
        </w:rPr>
        <w:t>La question « combien d'offres gagnées ? » donnait tantôt 56, tantôt 88 selon la formulation : le modèle proposait parfois le statut littéral « Offre gagnée », parfois l'ensemble des issues favorables — qui comprend aussi « Offre signée ». Le terme est désormais tranché par le code, comme « offre remise » l'était déjà : il vaut toujours les deux statuts, quelle que soit la phrase.</w:t>
      </w:r>
    </w:p>
    <w:p>
      <w:r>
        <w:rPr>
          <w:b w:val="0"/>
          <w:i w:val="0"/>
        </w:rPr>
        <w:t>La correction a mis au jour la même asymétrie sur la négation : « offres non gagnées » n'écartait qu'un des deux statuts, si bien que les offres signées comptaient dans les DEUX réponses et que les deux questions inverses ne partitionnaient pas le portefeuille. Les deux formes sont désormais traitées ensemble — 88 gagnées et 141 non gagnées redonnent bien les 229 opportunités actives.</w:t>
      </w:r>
    </w:p>
    <w:p>
      <w:pPr>
        <w:keepNext/>
        <w:spacing w:before="280" w:after="120"/>
      </w:pPr>
      <w:r>
        <w:rPr>
          <w:b/>
          <w:color w:val="242422"/>
          <w:sz w:val="27"/>
        </w:rPr>
        <w:t>9.11 Réutiliser une section : une table prouvée, jamais supposée</w:t>
      </w:r>
    </w:p>
    <w:p>
      <w:r>
        <w:rPr>
          <w:b w:val="0"/>
          <w:i w:val="0"/>
        </w:rPr>
        <w:t>Composer un tableau de bord pour une question à laquelle une section répond déjà fait perdre deux choses : l'utilisateur quitte une page qu'il connaît, et le chiffre affiché provient d'une composition faite à la volée plutôt que d'un widget relu. backend/overview_match.py décide donc, avant toute écriture, si une section porte la réponse — et laquelle.</w:t>
      </w:r>
    </w:p>
    <w:p>
      <w:r>
        <w:rPr>
          <w:b w:val="0"/>
          <w:i w:val="0"/>
        </w:rPr>
        <w:t>La première version de cette table associait (métrique, axe) à une page en supposant qu'une même métrique sur un même axe désignait la même question. C'est faux : le périmètre diffère. Vérification faite widget par widget, cinq des huit entrées désignaient une page répondant à autre chose — « budget par pays » menait à une section sans aucun widget par pays, et « combien d'offres » à un indicateur valant 147 quand le chat en annonce 229 (les offres remises dont l'échéance est passée, contre le portefeuille actif). Les deux chiffres sont justes ; la page contredisait la phrase qu'on venait de lire.</w:t>
      </w:r>
    </w:p>
    <w:p>
      <w:r>
        <w:rPr>
          <w:b w:val="0"/>
          <w:i w:val="0"/>
        </w:rPr>
        <w:t>La leçon porte moins sur la table que sur la méthode. Elle ne conserve que les entrées prouvées, et la preuve est devenue un test : tests/test_reutilisation_fidele.py exécute les deux moteurs sur les mêmes lignes et refuse toute entrée dont le total ou le nombre de lignes diffère, avec un contrôle négatif qui vérifie que le test sait dire non. Ajouter une entrée fausse fait désormais tomber la suite au lieu d'atteindre l'utilisateur.</w:t>
      </w:r>
    </w:p>
    <w:p>
      <w:pPr>
        <w:keepNext/>
        <w:spacing w:before="400" w:after="200"/>
        <w:pBdr>
          <w:bottom w:val="single" w:sz="18" w:space="4" w:color="D42A45"/>
        </w:pBdr>
      </w:pPr>
      <w:r>
        <w:rPr>
          <w:b/>
          <w:color w:val="F2405A"/>
          <w:sz w:val="36"/>
        </w:rPr>
        <w:t>10. Réponses textuelles déterministes</w:t>
      </w:r>
    </w:p>
    <w:p>
      <w:r>
        <w:rPr>
          <w:b w:val="0"/>
          <w:i w:val="0"/>
        </w:rPr>
        <w:t>response_builder.py calcule le message affiché à l'utilisateur directement depuis les données retournées par la requête SQL — jamais par le LLM. format_metric_value() applique les règles d'unité (budget en €, win_probability en % en multipliant par 100 car stocké en base comme fraction 0-1, nb_opportunities en entier). Cette séparation garantit que le texte affiché ne peut jamais diverger des chiffres réels du graphique.</w:t>
      </w:r>
    </w:p>
    <w:p>
      <w:pPr>
        <w:keepNext/>
        <w:spacing w:before="400" w:after="200"/>
        <w:pBdr>
          <w:bottom w:val="single" w:sz="18" w:space="4" w:color="D42A45"/>
        </w:pBdr>
      </w:pPr>
      <w:r>
        <w:rPr>
          <w:b/>
          <w:color w:val="F2405A"/>
          <w:sz w:val="36"/>
        </w:rPr>
        <w:t>11. Alertes deadlines</w:t>
      </w:r>
    </w:p>
    <w:p>
      <w:pPr>
        <w:keepNext/>
        <w:spacing w:before="280" w:after="120"/>
      </w:pPr>
      <w:r>
        <w:rPr>
          <w:b/>
          <w:color w:val="242422"/>
          <w:sz w:val="27"/>
        </w:rPr>
        <w:t>11.1 Une donnée « jours restants » qui ne peut pas devenir obsolète</w:t>
      </w:r>
    </w:p>
    <w:p>
      <w:r>
        <w:rPr>
          <w:b w:val="0"/>
          <w:i w:val="0"/>
        </w:rPr>
        <w:t>Historiquement, days_remaining était une colonne figée à l'import, qui ne diminuait pas toute seule au fil des jours — il fallait donc un job nocturne pour la recalculer, et se méfier de sa valeur entre deux exécutions. Depuis le passage à une lecture directe du Sheet, le problème disparaît par construction : days_remaining est recalculée à CHAQUE chargement des données (toutes les 15 minutes) depuis la deadline réelle et la date du jour. Il n'y a plus rien à rafraîchir la nuit, et le module de maintenance dédié a été supprimé.</w:t>
      </w:r>
    </w:p>
    <w:p>
      <w:r>
        <w:rPr>
          <w:b w:val="0"/>
          <w:i w:val="0"/>
        </w:rPr>
        <w:t>C'est un bon exemple de simplification obtenue en changeant la structure plutôt qu'en ajoutant du code : le mécanisme le plus fiable est ici celui qu'on a pu retirer.</w:t>
      </w:r>
    </w:p>
    <w:p>
      <w:pPr>
        <w:keepNext/>
        <w:spacing w:before="280" w:after="120"/>
      </w:pPr>
      <w:r>
        <w:rPr>
          <w:b/>
          <w:color w:val="242422"/>
          <w:sz w:val="27"/>
        </w:rPr>
        <w:t>11.2 Un job planifié (APScheduler, backend/main.py)</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fill="F2405A"/>
          </w:tcPr>
          <w:p>
            <w:r/>
            <w:r>
              <w:rPr>
                <w:b/>
                <w:color w:val="FFFFFF"/>
                <w:sz w:val="19"/>
              </w:rPr>
              <w:t>Fréquence</w:t>
            </w:r>
          </w:p>
        </w:tc>
        <w:tc>
          <w:tcPr>
            <w:tcW w:type="dxa" w:w="3137"/>
            <w:shd w:fill="F2405A"/>
          </w:tcPr>
          <w:p>
            <w:r/>
            <w:r>
              <w:rPr>
                <w:b/>
                <w:color w:val="FFFFFF"/>
                <w:sz w:val="19"/>
              </w:rPr>
              <w:t>Job</w:t>
            </w:r>
          </w:p>
        </w:tc>
        <w:tc>
          <w:tcPr>
            <w:tcW w:type="dxa" w:w="3137"/>
            <w:shd w:fill="F2405A"/>
          </w:tcPr>
          <w:p>
            <w:r/>
            <w:r>
              <w:rPr>
                <w:b/>
                <w:color w:val="FFFFFF"/>
                <w:sz w:val="19"/>
              </w:rPr>
              <w:t>Rôle</w:t>
            </w:r>
          </w:p>
        </w:tc>
      </w:tr>
      <w:tr>
        <w:trPr>
          <w:cantSplit/>
        </w:trPr>
        <w:tc>
          <w:tcPr>
            <w:tcW w:type="dxa" w:w="3137"/>
          </w:tcPr>
          <w:p>
            <w:r/>
            <w:r>
              <w:rPr>
                <w:sz w:val="19"/>
              </w:rPr>
              <w:t>Toutes les 15 min</w:t>
            </w:r>
          </w:p>
        </w:tc>
        <w:tc>
          <w:tcPr>
            <w:tcW w:type="dxa" w:w="3137"/>
          </w:tcPr>
          <w:p>
            <w:r/>
            <w:r>
              <w:rPr>
                <w:sz w:val="19"/>
              </w:rPr>
              <w:t>refresh_dataframe</w:t>
            </w:r>
          </w:p>
        </w:tc>
        <w:tc>
          <w:tcPr>
            <w:tcW w:type="dxa" w:w="3137"/>
          </w:tcPr>
          <w:p>
            <w:r/>
            <w:r>
              <w:rPr>
                <w:sz w:val="19"/>
              </w:rPr>
              <w:t>Recharge les données depuis le Sheet et régénère la projection DuckDB. Recalcule au passage days_remaining.</w:t>
            </w:r>
          </w:p>
        </w:tc>
      </w:tr>
      <w:tr>
        <w:trPr>
          <w:cantSplit/>
        </w:trPr>
        <w:tc>
          <w:tcPr>
            <w:tcW w:type="dxa" w:w="3137"/>
            <w:shd w:fill="FAFAF8"/>
          </w:tcPr>
          <w:p>
            <w:r/>
            <w:r>
              <w:rPr>
                <w:sz w:val="19"/>
              </w:rPr>
              <w:t>08:00</w:t>
            </w:r>
          </w:p>
        </w:tc>
        <w:tc>
          <w:tcPr>
            <w:tcW w:type="dxa" w:w="3137"/>
            <w:shd w:fill="FAFAF8"/>
          </w:tcPr>
          <w:p>
            <w:r/>
            <w:r>
              <w:rPr>
                <w:sz w:val="19"/>
              </w:rPr>
              <w:t>run_daily_alert_check_if_needed</w:t>
            </w:r>
          </w:p>
        </w:tc>
        <w:tc>
          <w:tcPr>
            <w:tcW w:type="dxa" w:w="3137"/>
            <w:shd w:fill="FAFAF8"/>
          </w:tcPr>
          <w:p>
            <w:r/>
            <w:r>
              <w:rPr>
                <w:sz w:val="19"/>
              </w:rPr>
              <w:t>Sélectionne les opportunités actives à échéance ≤ 7 jours et envoie l'email récapitulatif si la liste n'est pas vide.</w:t>
            </w:r>
          </w:p>
        </w:tc>
      </w:tr>
    </w:tbl>
    <w:p/>
    <w:p>
      <w:r>
        <w:rPr>
          <w:b w:val="0"/>
          <w:i w:val="0"/>
        </w:rPr>
        <w:t>Les deux tournent aussi une fois au démarrage, en tâche de fond : le serveur accepte les requêtes immédiatement, sans attendre le premier chargement du Sheet (qui prend une à deux secondes).</w:t>
      </w:r>
    </w:p>
    <w:p>
      <w:pPr>
        <w:keepNext/>
        <w:spacing w:before="280" w:after="120"/>
      </w:pPr>
      <w:r>
        <w:rPr>
          <w:b/>
          <w:color w:val="242422"/>
          <w:sz w:val="27"/>
        </w:rPr>
        <w:t>11.4 Envoi de l'email (Gmail SMTP)</w:t>
      </w:r>
    </w:p>
    <w:p>
      <w:r>
        <w:rPr>
          <w:b w:val="0"/>
          <w:i w:val="0"/>
        </w:rPr>
        <w:t>send_alert_email() utilise smtplib avec STARTTLS sur smtp.gmail.com:587, authentifié par un mot de passe d'application Gmail (jamais le mot de passe principal du compte) — trois variables d'environnement dédiées (GMAIL_SENDER, GMAIL_APP_PASSWORD, ALERT_RECIPIENT_EMAIL), absentes du dépôt git. Le corps de l'email liste chaque opportunité avec son urgence, son client, son statut et son budget.</w:t>
      </w:r>
    </w:p>
    <w:p>
      <w:pPr>
        <w:keepNext/>
        <w:spacing w:before="280" w:after="120"/>
      </w:pPr>
      <w:r>
        <w:rPr>
          <w:b/>
          <w:color w:val="242422"/>
          <w:sz w:val="27"/>
        </w:rPr>
        <w:t>11.5 Exclusion des statuts clos</w:t>
      </w:r>
    </w:p>
    <w:p>
      <w:r>
        <w:rPr>
          <w:b w:val="0"/>
          <w:i w:val="0"/>
        </w:rPr>
        <w:t>EXCLUDED_STATUSES filtre les opportunités déjà gagnées, perdues, signées, infructueuses, « NO GO », hors scope ou non shortlistées — une opportunité close ne doit plus jamais déclencher d'alerte, même si sa date d'échéance reste techniquement proche.</w:t>
      </w:r>
    </w:p>
    <w:p>
      <w:pPr>
        <w:keepNext/>
        <w:spacing w:before="280" w:after="120"/>
      </w:pPr>
      <w:r>
        <w:rPr>
          <w:b/>
          <w:color w:val="242422"/>
          <w:sz w:val="27"/>
        </w:rPr>
        <w:t>11.6 Bandeau frontend (AlertBanner.jsx)</w:t>
      </w:r>
    </w:p>
    <w:p>
      <w:r>
        <w:rPr>
          <w:b w:val="0"/>
          <w:i w:val="0"/>
        </w:rPr>
        <w:t>Le composant interroge GET /alerts/deadlines au montage (lecture live, indépendante du digest email quotidien — mêmes règles métier) et affiche un bandeau dépliable en haut du dashboard, avec un code couleur d'urgence (rouge ≤ 3 jours, orange 4-7 jours) réutilisant les jetons de statut déjà définis dans le design system de l'application.</w:t>
      </w:r>
    </w:p>
    <w:p>
      <w:pPr>
        <w:keepNext/>
        <w:spacing w:before="280" w:after="120"/>
      </w:pPr>
      <w:r>
        <w:rPr>
          <w:b/>
          <w:color w:val="242422"/>
          <w:sz w:val="27"/>
        </w:rPr>
        <w:t>11.7 Bug trouvé : une échéance déjà passée dans une liste « urgente »</w:t>
      </w:r>
    </w:p>
    <w:p>
      <w:r>
        <w:rPr>
          <w:b w:val="0"/>
          <w:i w:val="0"/>
        </w:rPr>
        <w:t>En testant la question « liste des opportunités urgentes (&lt; 7 jours) », des opportunités dont l'échéance était dépassée depuis des mois apparaissaient dans les résultats. Cause : la traduction en filtre SQL était days_remaining &lt; 7, et une deadline dépassée depuis 50 jours a days_remaining = -50, donc -50 &lt; 7 est vrai — mathématiquement correct, sémantiquement faux : « urgent » sous-entend une échéance encore à venir.</w:t>
      </w:r>
    </w:p>
    <w:p>
      <w:r>
        <w:rPr>
          <w:b w:val="0"/>
          <w:i w:val="0"/>
        </w:rPr>
        <w:t>Corrigé à trois niveaux plutôt qu'un seul, par prudence — le même principe de défense en profondeur que le reste de l'anti-hallucination du projet :</w:t>
      </w:r>
    </w:p>
    <w:p>
      <w:pPr>
        <w:pStyle w:val="ListNumber"/>
      </w:pPr>
      <w:r>
        <w:t>le chemin rapide par mots-clés (intent_refiner.py) produit désormais {"op": "between", "value": [0, N]} au lieu de {"op": "&lt;", "value": N} ;</w:t>
      </w:r>
    </w:p>
    <w:p>
      <w:pPr>
        <w:pStyle w:val="ListNumber"/>
      </w:pPr>
      <w:r>
        <w:t>l'exemple few-shot et une instruction explicite ont été ajoutés au prompt système du LLM (llm.py) pour le même cas ;</w:t>
      </w:r>
    </w:p>
    <w:p>
      <w:pPr>
        <w:pStyle w:val="ListNumber"/>
      </w:pPr>
      <w:r>
        <w:t>un garde-fou déterministe dans refine_intent() normalise automatiquement tout days_remaining avec un opérateur "&lt;" ou "&lt;=" en "between" à partir de 0 — quelle que soit son origine (LLM ou règle), et même si les deux premiers points étaient un jour contournés.</w:t>
      </w:r>
    </w:p>
    <w:p>
      <w:r>
        <w:rPr>
          <w:b w:val="0"/>
          <w:i w:val="0"/>
        </w:rPr>
        <w:t>Le troisième niveau est le plus important pédagogiquement : une instruction de prompt n'est jamais une garantie (le LLM l'a déjà ignorée une fois pour le scatter, voir section 15), donc la correction réellement fiable est celle qui ne dépend pas du LLM pour se déclencher. Le tableau affiche aussi désormais « Échéance dépassée depuis N jours » plutôt qu'un nombre négatif brut, pour les cas où une deadline passée reste légitimement visible (ex: une liste non filtrée par date).</w:t>
      </w:r>
    </w:p>
    <w:p>
      <w:pPr>
        <w:keepNext/>
        <w:spacing w:before="280" w:after="120"/>
      </w:pPr>
      <w:r>
        <w:rPr>
          <w:b/>
          <w:color w:val="242422"/>
          <w:sz w:val="27"/>
        </w:rPr>
        <w:t>11.8 Statuts clos exclus des requêtes « urgentes » du chat</w:t>
      </w:r>
    </w:p>
    <w:p>
      <w:r>
        <w:rPr>
          <w:b w:val="0"/>
          <w:i w:val="0"/>
        </w:rPr>
        <w:t>Signalé par l'utilisateur : « liste des opportunités urgentes » pouvait afficher une offre déjà gagnée ou perdue si sa date d'échéance technique tombait dans la fenêtre demandée — incohérent avec les alertes email/bannière (section 10.5), qui excluent bien ces statuts. Plutôt que de dupliquer la liste EXCLUDED_STATUSES, intent_refiner.py::refine_intent() l'importe directement depuis alerts.py et pose intent["exclude_statuses"] dès qu'un filtre days_remaining est présent — jamais piloté par le LLM, uniquement par ce garde-fou déterministe. db_layer.py traduit ce champ en une clause status NOT IN (...), ajoutée à toute requête qui filtre sur l'urgence. Une seule définition de « actif » pour tout le projet, jamais deux listes de statuts qui pourraient diverger avec le temps.</w:t>
      </w:r>
    </w:p>
    <w:p>
      <w:pPr>
        <w:keepNext/>
        <w:spacing w:before="280" w:after="120"/>
      </w:pPr>
      <w:r>
        <w:rPr>
          <w:b/>
          <w:color w:val="242422"/>
          <w:sz w:val="27"/>
        </w:rPr>
        <w:t>11.9 Rattrapage du scheduler</w:t>
      </w:r>
    </w:p>
    <w:p>
      <w:r>
        <w:rPr>
          <w:b w:val="0"/>
          <w:i w:val="0"/>
        </w:rPr>
        <w:t>APScheduler ne rattrape pas un job manqué si le processus était entièrement arrêté au moment prévu (contrairement à misfire_grace_time, qui ne couvre qu'un léger retard sur un processus resté actif). Pour le rafraîchissement des données, ce n'est pas un problème : il est rappelé sans condition à chaque démarrage, et le refaire ne coûte rien. Pour l'email quotidien, un rappel sans condition renverrait un doublon si le cron de 8h avait déjà tourné le jour même.</w:t>
      </w:r>
    </w:p>
    <w:p>
      <w:r>
        <w:rPr>
          <w:b w:val="0"/>
          <w:i w:val="0"/>
        </w:rPr>
        <w:t>Solution : un fichier `data/scheduler_state.json` retenant la date de dernière exécution par job — auparavant une table MySQL, devenue un simple fichier local avec la suppression de la base. run_daily_alert_check_if_needed() vérifie d'abord si le job a déjà tourné aujourd'hui ; sinon, elle exécute la vérification puis marque la date. Appelée à la fois par le cron de 8h ET au démarrage du serveur : un serveur éteint pile à 8h rattrape l'envoi dès qu'il redémarre, quelle que soit l'heure, sans jamais produire de second email le même jour.</w:t>
      </w:r>
    </w:p>
    <w:p>
      <w:r>
        <w:rPr>
          <w:b w:val="0"/>
          <w:i w:val="0"/>
        </w:rPr>
        <w:t>Détail de robustesse : si la vérification anti-doublon elle-même échoue (fichier illisible), l'alerte est envoyée quand même. Un mécanisme de suivi cassé ne doit jamais avoir pour conséquence de supprimer silencieusement l'alerte qu'il protège.</w:t>
      </w:r>
    </w:p>
    <w:p>
      <w:pPr>
        <w:keepNext/>
        <w:spacing w:before="400" w:after="200"/>
        <w:pBdr>
          <w:bottom w:val="single" w:sz="18" w:space="4" w:color="D42A45"/>
        </w:pBdr>
      </w:pPr>
      <w:r>
        <w:rPr>
          <w:b/>
          <w:color w:val="F2405A"/>
          <w:sz w:val="36"/>
        </w:rPr>
        <w:t>12. Le pont DuckDB (backend/duckdb_export.py)</w:t>
      </w:r>
    </w:p>
    <w:p>
      <w:r>
        <w:rPr>
          <w:b w:val="0"/>
          <w:i w:val="0"/>
        </w:rPr>
        <w:t>Bruin DAC ne sait interroger que des connexions SQL. Les données vivant désormais dans un DataFrame en mémoire, un pont est nécessaire : ce module réécrit le DataFrame dans un fichier DuckDB local à chaque rafraîchissement.</w:t>
      </w:r>
    </w:p>
    <w:p>
      <w:pPr>
        <w:keepNext/>
        <w:spacing w:before="280" w:after="120"/>
      </w:pPr>
      <w:r>
        <w:rPr>
          <w:b/>
          <w:color w:val="242422"/>
          <w:sz w:val="27"/>
        </w:rPr>
        <w:t>12.1 Une projection, pas une base de données</w:t>
      </w:r>
    </w:p>
    <w:p>
      <w:r>
        <w:rPr>
          <w:b w:val="0"/>
          <w:i w:val="0"/>
        </w:rPr>
        <w:t>La distinction est importante : le fichier DuckDB n'est jamais lu par le code applicatif, jamais édité à la main, et intégralement régénéré à chaque cycle. pandas reste la source de vérité pour le chat et les alertes. Cette asymétrie garantit qu'aucune divergence ne peut s'installer entre ce que dit le chat et ce qu'affichent les tableaux de bord — les deux dérivent du même chargement.</w:t>
      </w:r>
    </w:p>
    <w:p>
      <w:r>
        <w:rPr>
          <w:b w:val="0"/>
          <w:i w:val="0"/>
        </w:rPr>
        <w:t>L'écriture utilise CREATE OR REPLACE TABLE plutôt qu'un DELETE suivi d'INSERT : atomique du point de vue d'un lecteur, et le schéma est repris automatiquement du DataFrame — aucune définition de colonnes à maintenir en double.</w:t>
      </w:r>
    </w:p>
    <w:p>
      <w:pPr>
        <w:keepNext/>
        <w:spacing w:before="280" w:after="120"/>
      </w:pPr>
      <w:r>
        <w:rPr>
          <w:b/>
          <w:color w:val="242422"/>
          <w:sz w:val="27"/>
        </w:rPr>
        <w:t>12.2 Le piège de concurrence, identifié puis testé</w:t>
      </w:r>
    </w:p>
    <w:p>
      <w:r>
        <w:rPr>
          <w:b w:val="0"/>
          <w:i w:val="0"/>
        </w:rPr>
        <w:t>DuckDB autorise SOIT plusieurs lecteurs, SOIT un seul écrivain — jamais les deux simultanément. Or DAC lit le fichier pendant que l'application le réécrit toutes les 15 minutes : une collision était donc possible par construction.</w:t>
      </w:r>
    </w:p>
    <w:p>
      <w:r>
        <w:rPr>
          <w:b w:val="0"/>
          <w:i w:val="0"/>
        </w:rPr>
        <w:t>Deux mesures. Côté DAC, la connexion est déclarée en lecture seule (read_only: true dans .bruin.yml) — sans quoi elle prendrait un verrou exclusif et empêcherait tout rafraîchissement. Côté écriture, la connexion est fermée immédiatement après usage, et l'opération réessaie quelques fois à intervalle court si le fichier est momentanément verrouillé. En cas d'échec complet, l'ancien fichier est conservé : les tableaux de bord affichent des données d'un cycle plus anciennes, jamais une base vide ou corrompue.</w:t>
      </w:r>
    </w:p>
    <w:p>
      <w:r>
        <w:rPr>
          <w:b w:val="0"/>
          <w:i w:val="0"/>
        </w:rPr>
        <w:t>Vérifié sous charge plutôt que supposé : trois rafraîchissements concurrents lancés pendant vingt-sept requêtes de widgets, tous passants.</w:t>
      </w:r>
    </w:p>
    <w:p>
      <w:pPr>
        <w:keepNext/>
        <w:spacing w:before="280" w:after="120"/>
      </w:pPr>
      <w:r>
        <w:rPr>
          <w:b/>
          <w:color w:val="242422"/>
          <w:sz w:val="27"/>
        </w:rPr>
        <w:t>12.3 Authentification Google — aucune, lien d'export public</w:t>
      </w:r>
    </w:p>
    <w:p>
      <w:r>
        <w:rPr>
          <w:b w:val="0"/>
          <w:i w:val="0"/>
        </w:rPr>
        <w:t>L'application ne lit plus le Sheet qu'en LECTURE — elle n'y écrit plus les identifiants des nouvelles lignes ni les colonnes calculées, qui restent affichées dans les tableaux de bord sans jamais être renvoyées vers Google (section 4.3). Aucun identifiant n'est donc nécessaire : un appel HTTP vers le lien d'export CSV public du Sheet (`/gviz/tq?tqx=out:csv`, le même mécanisme que « Fichier → Télécharger → CSV »), sans clé API, sans fichier de compte de service, sans OAuth. Contrepartie assumée : le Sheet doit être partagé en Lecteur, « toute personne disposant du lien » — et un nom d'onglet incorrect ne produit AUCUNE erreur, Google retombe silencieusement sur le premier onglet de la feuille (mitigé par la vérification des colonnes attendues juste après la lecture, seul filet de sécurité disponible ici).</w:t>
      </w:r>
    </w:p>
    <w:p>
      <w:r>
        <w:rPr>
          <w:b w:val="0"/>
          <w:i w:val="0"/>
        </w:rPr>
        <w:t>Ce choix a remplacé une authentification par clé API Sheets v4 restreinte (elle-même remplaçante d'un compte de service, fichier JSON partagé en Éditeur sur le Sheet cible) — chaque étape supprimant une pièce d'identité de plus à faire circuler, la dernière ne demandant plus rien du tout côté Google Cloud Console. L'appel HTTP au lien d'export n'a rien à mettre en cache entre deux chargements, contrairement au client authentifié qu'il remplace.</w:t>
      </w:r>
    </w:p>
    <w:p>
      <w:pPr>
        <w:keepNext/>
        <w:spacing w:before="280" w:after="120"/>
      </w:pPr>
      <w:r>
        <w:rPr>
          <w:b/>
          <w:color w:val="242422"/>
          <w:sz w:val="27"/>
        </w:rPr>
        <w:t>12.4 Déclenchement</w:t>
      </w:r>
    </w:p>
    <w:p>
      <w:r>
        <w:rPr>
          <w:b w:val="0"/>
          <w:i w:val="0"/>
        </w:rPr>
        <w:t>Trois déclencheurs pour le cycle complet (lecture du Sheet, reconstruction du DataFrame, projection DuckDB, purge du cache de tableaux de bord) : toutes les 15 minutes via APScheduler, une fois au démarrage, et à la demande via POST /sheets/sync — ce dernier étant exposé par un bouton dans l'interface de chat, qui affiche le résumé du chargement (lignes chargées, ignorées).</w:t>
      </w:r>
    </w:p>
    <w:p>
      <w:pPr>
        <w:keepNext/>
        <w:spacing w:before="400" w:after="200"/>
        <w:pBdr>
          <w:bottom w:val="single" w:sz="18" w:space="4" w:color="D42A45"/>
        </w:pBdr>
      </w:pPr>
      <w:r>
        <w:rPr>
          <w:b/>
          <w:color w:val="F2405A"/>
          <w:sz w:val="36"/>
        </w:rPr>
        <w:t>13. Frontend (Vite + React)</w:t>
      </w:r>
    </w:p>
    <w:p>
      <w:pPr>
        <w:pStyle w:val="ListBullet"/>
      </w:pPr>
      <w:r>
        <w:t>Composants principaux : ChatPanel, DashboardPanel (iframe DAC), AlertBanner, DataTable, StatTile, ThemeToggle, DevoteamLogo.</w:t>
      </w:r>
    </w:p>
    <w:p>
      <w:pPr>
        <w:pStyle w:val="ListBullet"/>
      </w:pPr>
      <w:r>
        <w:t>Hooks dédiés : useTheme (clair/sombre), useChatHistory (persistance localStorage).</w:t>
      </w:r>
    </w:p>
    <w:p>
      <w:pPr>
        <w:pStyle w:val="ListBullet"/>
      </w:pPr>
      <w:r>
        <w:t>DashboardPanel affiche un iframe pointant sur le serveur DAC : la vue d'ensemble par défaut, ou le tableau de bord généré dès qu'une question a été posée. Deux boutons permettent de basculer entre les deux. L'URL est construite à partir du NOM du tableau de bord (DAC route par nom affiché, pas par nom de fichier), et le compteur dashboardKey sert de clé React pour forcer le rechargement de l'iframe même quand le nom ne change pas.</w:t>
      </w:r>
    </w:p>
    <w:p>
      <w:pPr>
        <w:pStyle w:val="ListBullet"/>
      </w:pPr>
      <w:r>
        <w:t>Thème géré par variables CSS (custom properties) — le mode sombre est SÉLECTIONNÉ avec ses propres valeurs, pas un simple filtre inversé automatique. Il s'applique au chat, pas à l'iframe DAC (voir section 17).</w:t>
      </w:r>
    </w:p>
    <w:p>
      <w:pPr>
        <w:pStyle w:val="ListBullet"/>
      </w:pPr>
      <w:r>
        <w:t>Jetons de marque (--brand-primary…) volontairement séparés des jetons de sécurité des graphiques (--series-1…8) pour ne jamais mélanger esthétique et lisibilité daltonisme.</w:t>
      </w:r>
    </w:p>
    <w:p>
      <w:pPr>
        <w:pStyle w:val="ListBullet"/>
      </w:pPr>
      <w:r>
        <w:t>Astuce React : un compteur dashboardKey, incrémenté à chaque nouvelle réponse, est utilisé comme prop key pour forcer le remontage des composants et rejouer les animations d'entrée à chaque nouveau résultat.</w:t>
      </w:r>
    </w:p>
    <w:p>
      <w:pPr>
        <w:keepNext/>
        <w:spacing w:before="280" w:after="120"/>
      </w:pPr>
      <w:r>
        <w:rPr>
          <w:b/>
          <w:color w:val="242422"/>
          <w:sz w:val="27"/>
        </w:rPr>
        <w:t>13.1 Historique de conversation persistant (useChatHistory.js)</w:t>
      </w:r>
    </w:p>
    <w:p>
      <w:r>
        <w:rPr>
          <w:b w:val="0"/>
          <w:i w:val="0"/>
        </w:rPr>
        <w:t>Messages, dashboard affiché et contexte multi-tour (previous_intent) sont sérialisés dans localStorage à chaque changement, et restaurés au montage — plafonnés à 100 messages pour ne pas faire grossir indéfiniment le stockage. Le compteur d'identifiants de message (nextIdRef) est réinitialisé au-delà du plus grand id restauré, pour ne jamais entrer en collision avec l'historique repris. Toute erreur (quota dépassé, navigation privée, JSON corrompu) est absorbée silencieusement : la persistance est un confort, jamais une dépendance dont l'absence casserait le chat. Un bouton « Effacer la conversation » (avec confirmation) a été ajouté dans le header, puisqu'un historique qui persiste indéfiniment a besoin d'une porte de sortie explicite.</w:t>
      </w:r>
    </w:p>
    <w:p>
      <w:pPr>
        <w:keepNext/>
        <w:spacing w:before="280" w:after="120"/>
      </w:pPr>
      <w:r>
        <w:rPr>
          <w:b/>
          <w:color w:val="242422"/>
          <w:sz w:val="27"/>
        </w:rPr>
        <w:t>13.2 La saisie en tête de panneau et le volet d'historique</w:t>
      </w:r>
    </w:p>
    <w:p>
      <w:r>
        <w:rPr>
          <w:b w:val="0"/>
          <w:i w:val="0"/>
        </w:rPr>
        <w:t>La zone de saisie était en pied de panneau, sous les messages : elle descendait avec la conversation et demandait de faire défiler pour être retrouvée. Elle est désormais en tête, juste sous l'en-tête, et ne bouge plus. Le trait de séparation passe simplement de border-top à border-bottom.</w:t>
      </w:r>
    </w:p>
    <w:p>
      <w:r>
        <w:rPr>
          <w:b w:val="0"/>
          <w:i w:val="0"/>
        </w:rPr>
        <w:t>C'est le SEUL moyen de modifier le tableau de bord affiché. Une rangée de retouches en un clic avait été essayée puis retirée : décrire ce que l'on veut est plus expressif qu'un choix parmi quatre raccourcis, et la présence des boutons suggérait à tort que le reste ne se demandait pas.</w:t>
      </w:r>
    </w:p>
    <w:p>
      <w:r>
        <w:rPr>
          <w:b w:val="0"/>
          <w:i w:val="0"/>
        </w:rPr>
        <w:t>Les analyses déjà produites vivent dans un volet d'historique, ouvert depuis l'en-tête du TABLEAU DE BORD — pas du chat : c'est par lui qu'on choisit quelle analyse regarder, il précède donc le sélecteur de vue, qui ne fait ensuite que basculer entre elle et la vue d'ensemble. Superposé au chat, groupé par jour, il signale l'analyse affichée et rouvre n'importe quelle demande passée d'un clic. Une liste déroulante avait d'abord été livrée, puis remplacée — elle cachait son contenu tant qu'on ne l'ouvrait pas, tronquait des intitulés qui sont des phrases entières, et ne pouvait porter ni date ni état courant.</w:t>
      </w:r>
    </w:p>
    <w:p>
      <w:pPr>
        <w:spacing w:before="40"/>
      </w:pPr>
      <w:r>
        <w:rPr>
          <w:i/>
          <w:color w:val="52514E"/>
          <w:sz w:val="19"/>
        </w:rPr>
        <w:t>L'historique retrace ce que l'utilisateur a écrit, pas ce que le backend a produit : deux formulations aboutissant au même tableau de bord y restent deux entrées, parce que c'est par sa propre phrase qu'on retrouve une analyse. D'où la clé sur l'identifiant du message et non sur le nom du tableau de bord, qui peut se répéter. Les conversations enregistrées avant l'ajout de l'horodatage sont regroupées sous « Plus ancien » plutôt que de porter une fausse date.</w:t>
      </w:r>
    </w:p>
    <w:p>
      <w:pPr>
        <w:keepNext/>
        <w:spacing w:before="280" w:after="120"/>
      </w:pPr>
      <w:r>
        <w:rPr>
          <w:b/>
          <w:color w:val="242422"/>
          <w:sz w:val="27"/>
        </w:rPr>
        <w:t>13.3 Un seul tableau de bord, et des transitions en fondu</w:t>
      </w:r>
    </w:p>
    <w:p>
      <w:r>
        <w:rPr>
          <w:b w:val="0"/>
          <w:i w:val="0"/>
        </w:rPr>
        <w:t>La bascule entre « Vue d'ensemble » et « Mon tableau de bord » a été retirée : il n'y a plus qu'un tableau de bord, qui s'ouvre sur la vue d'ensemble et que les questions transforment. Le rechargement de la page y revient — l'affichage et le contexte de la dernière question ne sont plus restaurés, car les conserver rouvrait une analyse que personne n'avait redemandée et laissait une suite comme « en camembert » ajuster un tableau de bord qu'on ne regardait plus. La conversation, elle, reste conservée.</w:t>
      </w:r>
    </w:p>
    <w:p>
      <w:pPr>
        <w:spacing w:before="40"/>
      </w:pPr>
      <w:r>
        <w:rPr>
          <w:i/>
          <w:color w:val="52514E"/>
          <w:sz w:val="19"/>
        </w:rPr>
        <w:t>Recharger l'iframe en place la vidait le temps du chargement : l'écran passait au blanc à chaque question. Deux cadres se superposent désormais — celui qu'on regarde, et le suivant qui charge par-dessus, invisible. Quand il est prêt il devient opaque, et l'ancien n'est retiré qu'ENSUITE, une fois le fondu terminé : retirer l'ancien au moment de la promotion aurait laissé apparaître le fond entre les deux.</w:t>
      </w:r>
    </w:p>
    <w:p>
      <w:r>
        <w:rPr>
          <w:b w:val="0"/>
          <w:i w:val="0"/>
        </w:rPr>
        <w:t>Le squelette animé ne sert donc plus qu'au tout premier affichage, quand il n'y a effectivement rien à montrer en attendant (démarrage à froid du moteur de requête). Les fois suivantes, le tableau de bord précédent tient ce rôle bien mieux, et un fil d'attente de deux pixels en tête signale le travail en cours. La préférence système « mouvement réduit » ramène le tout à un basculement instantané, sans jamais rouvrir de fenêtre de vide.</w:t>
      </w:r>
    </w:p>
    <w:p>
      <w:pPr>
        <w:keepNext/>
        <w:spacing w:before="280" w:after="120"/>
      </w:pPr>
      <w:r>
        <w:rPr>
          <w:b/>
          <w:color w:val="242422"/>
          <w:sz w:val="27"/>
        </w:rPr>
        <w:t>13.4 Bug trouvé : header illisible en mode sombre</w:t>
      </w:r>
    </w:p>
    <w:p>
      <w:r>
        <w:rPr>
          <w:b w:val="0"/>
          <w:i w:val="0"/>
        </w:rPr>
        <w:t>Trouvé en relisant le CSS (pas en testant à l'œil — aucun outil de capture d'écran disponible dans cet environnement) : le dégradé du header utilisait linear-gradient(135deg, var(--brand-primary) 0%, var(--text-primary) 68%). --text-primary vaut #0b0b0b (presque noir) en mode clair, mais #ffffff (blanc) en mode sombre — et le texte du header, lui, est en blanc fixe (color: #ffffff). En mode sombre, le dégradé finissait donc en blanc, sous un texte blanc : illisible, tout comme le logo (lui aussi dessiné en blanc).</w:t>
      </w:r>
    </w:p>
    <w:p>
      <w:r>
        <w:rPr>
          <w:b w:val="0"/>
          <w:i w:val="0"/>
        </w:rPr>
        <w:t>Corrigé avec un nouveau jeton --header-ink, fixé à #0b0b0b et jamais réactif au thème — le header porte toujours du texte blanc, donc la fin de son dégradé doit toujours rester sombre, quel que soit le thème actif. Un second bug de même nature affectait le texte « warning » du bandeau d'alerte (color-mix(..., black) littéral, qui suppose un fond clair) : corrigé avec un jeton --warning-ink-mix (black en mode clair, white en mode sombre). Aucune valeur n'a changé en mode clair dans les deux cas — uniquement des ajouts, jamais une modification du rendu déjà validé.</w:t>
      </w:r>
    </w:p>
    <w:p>
      <w:pPr>
        <w:keepNext/>
        <w:spacing w:before="400" w:after="200"/>
        <w:pBdr>
          <w:bottom w:val="single" w:sz="18" w:space="4" w:color="D42A45"/>
        </w:pBdr>
      </w:pPr>
      <w:r>
        <w:rPr>
          <w:b/>
          <w:color w:val="F2405A"/>
          <w:sz w:val="36"/>
        </w:rPr>
        <w:t>14. Sécurité</w:t>
      </w:r>
    </w:p>
    <w:p>
      <w:pPr>
        <w:pStyle w:val="ListBullet"/>
      </w:pPr>
      <w:r>
        <w:t>Aucune injection SQL possible : le LLM ne produit jamais de SQL, uniquement un JSON borné par une liste blanche, converti en requêtes paramétrées.</w:t>
      </w:r>
    </w:p>
    <w:p>
      <w:pPr>
        <w:pStyle w:val="ListBullet"/>
      </w:pPr>
      <w:r>
        <w:t>.env (identifiants email) exclu du suivi git via .gitignore ; .env.example documente les variables attendues sans valeurs réelles.</w:t>
      </w:r>
    </w:p>
    <w:p>
      <w:pPr>
        <w:pStyle w:val="ListBullet"/>
      </w:pPr>
      <w:r>
        <w:t>Le mot de passe d'application Gmail est distinct du mot de passe principal du compte et révocable indépendamment.</w:t>
      </w:r>
    </w:p>
    <w:p>
      <w:pPr>
        <w:pStyle w:val="ListBullet"/>
      </w:pPr>
      <w:r>
        <w:t>La lecture du Sheet (section 12.3) ne passe par aucun identifiant à protéger : le lien d'export public n'existe que parce que le Sheet est déjà partagé « toute personne disposant du lien », exactement l'inverse d'un secret.</w:t>
      </w:r>
    </w:p>
    <w:p>
      <w:pPr>
        <w:keepNext/>
        <w:spacing w:before="400" w:after="200"/>
        <w:pBdr>
          <w:bottom w:val="single" w:sz="18" w:space="4" w:color="D42A45"/>
        </w:pBdr>
      </w:pPr>
      <w:r>
        <w:rPr>
          <w:b/>
          <w:color w:val="F2405A"/>
          <w:sz w:val="36"/>
        </w:rPr>
        <w:t>15. Tests automatisés</w:t>
      </w:r>
    </w:p>
    <w:p>
      <w:r>
        <w:rPr>
          <w:b w:val="0"/>
          <w:i w:val="0"/>
        </w:rPr>
        <w:t>686 tests pytest, sans dépendance réseau ni données réelles : le client du modèle local (Ollama) et l'appel HTTP au lien d'export du Sheet sont simulés (monkeypatch), et les données sont un petit DataFrame construit dans le test. La suite tourne donc hors ligne, en quelques secondes.</w:t>
      </w:r>
    </w:p>
    <w:p>
      <w:r>
        <w:rPr>
          <w:b w:val="0"/>
          <w:i w:val="0"/>
        </w:rPr>
        <w:t>Ces tests sont systématiquement complétés par une vérification en conditions réelles — Sheet réel, appel au modèle local réel, exécution effective de chaque widget via `dac check`. La répartition des rôles est nette : les tests protègent contre les régressions, la vérification réelle est ce qui a révélé la quasi-totalité des vrais bugs de ce projet (sections 8.3 et 15).</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fill="F2405A"/>
          </w:tcPr>
          <w:p>
            <w:r/>
            <w:r>
              <w:rPr>
                <w:b/>
                <w:color w:val="FFFFFF"/>
                <w:sz w:val="19"/>
              </w:rPr>
              <w:t>Fichier</w:t>
            </w:r>
          </w:p>
        </w:tc>
        <w:tc>
          <w:tcPr>
            <w:tcW w:type="dxa" w:w="3137"/>
            <w:shd w:fill="F2405A"/>
          </w:tcPr>
          <w:p>
            <w:r/>
            <w:r>
              <w:rPr>
                <w:b/>
                <w:color w:val="FFFFFF"/>
                <w:sz w:val="19"/>
              </w:rPr>
              <w:t>Tests</w:t>
            </w:r>
          </w:p>
        </w:tc>
        <w:tc>
          <w:tcPr>
            <w:tcW w:type="dxa" w:w="3137"/>
            <w:shd w:fill="F2405A"/>
          </w:tcPr>
          <w:p>
            <w:r/>
            <w:r>
              <w:rPr>
                <w:b/>
                <w:color w:val="FFFFFF"/>
                <w:sz w:val="19"/>
              </w:rPr>
              <w:t>Ce qu'il protège</w:t>
            </w:r>
          </w:p>
        </w:tc>
      </w:tr>
      <w:tr>
        <w:trPr>
          <w:cantSplit/>
        </w:trPr>
        <w:tc>
          <w:tcPr>
            <w:tcW w:type="dxa" w:w="3137"/>
          </w:tcPr>
          <w:p>
            <w:r/>
            <w:r>
              <w:rPr>
                <w:sz w:val="19"/>
              </w:rPr>
              <w:t>test_intent_refiner.py</w:t>
            </w:r>
          </w:p>
        </w:tc>
        <w:tc>
          <w:tcPr>
            <w:tcW w:type="dxa" w:w="3137"/>
          </w:tcPr>
          <w:p>
            <w:r/>
            <w:r>
              <w:rPr>
                <w:sz w:val="19"/>
              </w:rPr>
              <w:t>62</w:t>
            </w:r>
          </w:p>
        </w:tc>
        <w:tc>
          <w:tcPr>
            <w:tcW w:type="dxa" w:w="3137"/>
          </w:tcPr>
          <w:p>
            <w:r/>
            <w:r>
              <w:rPr>
                <w:sz w:val="19"/>
              </w:rPr>
              <w:t>Dates relatives, parseur par mots-clés, affinage d'intention, normalisation funnel/heatmap/scatter/days_remaining/exclude_statuses, arbitrage du type de graphique, retouches et vérification de couverture mot à mot.</w:t>
            </w:r>
          </w:p>
        </w:tc>
      </w:tr>
      <w:tr>
        <w:trPr>
          <w:cantSplit/>
        </w:trPr>
        <w:tc>
          <w:tcPr>
            <w:tcW w:type="dxa" w:w="3137"/>
            <w:shd w:fill="FAFAF8"/>
          </w:tcPr>
          <w:p>
            <w:r/>
            <w:r>
              <w:rPr>
                <w:sz w:val="19"/>
              </w:rPr>
              <w:t>test_data_store.py</w:t>
            </w:r>
          </w:p>
        </w:tc>
        <w:tc>
          <w:tcPr>
            <w:tcW w:type="dxa" w:w="3137"/>
            <w:shd w:fill="FAFAF8"/>
          </w:tcPr>
          <w:p>
            <w:r/>
            <w:r>
              <w:rPr>
                <w:sz w:val="19"/>
              </w:rPr>
              <w:t>29</w:t>
            </w:r>
          </w:p>
        </w:tc>
        <w:tc>
          <w:tcPr>
            <w:tcW w:type="dxa" w:w="3137"/>
            <w:shd w:fill="FAFAF8"/>
          </w:tcPr>
          <w:p>
            <w:r/>
            <w:r>
              <w:rPr>
                <w:sz w:val="19"/>
              </w:rPr>
              <w:t>Parsing et validation par ligne, littéraux NULL, attribution et réécriture des identifiants, réparation cellule par cellule sans perdre la ligne, traçabilité de chaque remplacement, résilience à une panne de lecture du Sheet.</w:t>
            </w:r>
          </w:p>
        </w:tc>
      </w:tr>
      <w:tr>
        <w:trPr>
          <w:cantSplit/>
        </w:trPr>
        <w:tc>
          <w:tcPr>
            <w:tcW w:type="dxa" w:w="3137"/>
          </w:tcPr>
          <w:p>
            <w:r/>
            <w:r>
              <w:rPr>
                <w:sz w:val="19"/>
              </w:rPr>
              <w:t>test_dac_composer.py</w:t>
            </w:r>
          </w:p>
        </w:tc>
        <w:tc>
          <w:tcPr>
            <w:tcW w:type="dxa" w:w="3137"/>
          </w:tcPr>
          <w:p>
            <w:r/>
            <w:r>
              <w:rPr>
                <w:sz w:val="19"/>
              </w:rPr>
              <w:t>40</w:t>
            </w:r>
          </w:p>
        </w:tc>
        <w:tc>
          <w:tcPr>
            <w:tcW w:type="dxa" w:w="3137"/>
          </w:tcPr>
          <w:p>
            <w:r/>
            <w:r>
              <w:rPr>
                <w:sz w:val="19"/>
              </w:rPr>
              <w:t>Génération SQL (échappement des apostrophes, refus d'injection), composition multi-widgets, filtres propagés à tous les widgets, grille 12 colonnes respectée, exclusion des affaires perdues, nom du dashboard de travail constant, YAML valide et relisible.</w:t>
            </w:r>
          </w:p>
        </w:tc>
      </w:tr>
      <w:tr>
        <w:trPr>
          <w:cantSplit/>
        </w:trPr>
        <w:tc>
          <w:tcPr>
            <w:tcW w:type="dxa" w:w="3137"/>
            <w:shd w:fill="FAFAF8"/>
          </w:tcPr>
          <w:p>
            <w:r/>
            <w:r>
              <w:rPr>
                <w:sz w:val="19"/>
              </w:rPr>
              <w:t>test_db_layer.py</w:t>
            </w:r>
          </w:p>
        </w:tc>
        <w:tc>
          <w:tcPr>
            <w:tcW w:type="dxa" w:w="3137"/>
            <w:shd w:fill="FAFAF8"/>
          </w:tcPr>
          <w:p>
            <w:r/>
            <w:r>
              <w:rPr>
                <w:sz w:val="19"/>
              </w:rPr>
              <w:t>22</w:t>
            </w:r>
          </w:p>
        </w:tc>
        <w:tc>
          <w:tcPr>
            <w:tcW w:type="dxa" w:w="3137"/>
            <w:shd w:fill="FAFAF8"/>
          </w:tcPr>
          <w:p>
            <w:r/>
            <w:r>
              <w:rPr>
                <w:sz w:val="19"/>
              </w:rPr>
              <w:t>Requêtage pandas : groupements, filtres à valeurs multiples, intervalles, exclusion des affaires perdues et son échappatoire, chemin brut du scatter, DataFrame vide.</w:t>
            </w:r>
          </w:p>
        </w:tc>
      </w:tr>
      <w:tr>
        <w:trPr>
          <w:cantSplit/>
        </w:trPr>
        <w:tc>
          <w:tcPr>
            <w:tcW w:type="dxa" w:w="3137"/>
          </w:tcPr>
          <w:p>
            <w:r/>
            <w:r>
              <w:rPr>
                <w:sz w:val="19"/>
              </w:rPr>
              <w:t>test_llm_validation.py</w:t>
            </w:r>
          </w:p>
        </w:tc>
        <w:tc>
          <w:tcPr>
            <w:tcW w:type="dxa" w:w="3137"/>
          </w:tcPr>
          <w:p>
            <w:r/>
            <w:r>
              <w:rPr>
                <w:sz w:val="19"/>
              </w:rPr>
              <w:t>16</w:t>
            </w:r>
          </w:p>
        </w:tc>
        <w:tc>
          <w:tcPr>
            <w:tcW w:type="dxa" w:w="3137"/>
          </w:tcPr>
          <w:p>
            <w:r/>
            <w:r>
              <w:rPr>
                <w:sz w:val="19"/>
              </w:rPr>
              <w:t>Anti-hallucination : clarification plutôt que valeur devinée, résolution fuzzy des filtres, chemin rapide vs LLM.</w:t>
            </w:r>
          </w:p>
        </w:tc>
      </w:tr>
      <w:tr>
        <w:trPr>
          <w:cantSplit/>
        </w:trPr>
        <w:tc>
          <w:tcPr>
            <w:tcW w:type="dxa" w:w="3137"/>
            <w:shd w:fill="FAFAF8"/>
          </w:tcPr>
          <w:p>
            <w:r/>
            <w:r>
              <w:rPr>
                <w:sz w:val="19"/>
              </w:rPr>
              <w:t>test_response_builder.py</w:t>
            </w:r>
          </w:p>
        </w:tc>
        <w:tc>
          <w:tcPr>
            <w:tcW w:type="dxa" w:w="3137"/>
            <w:shd w:fill="FAFAF8"/>
          </w:tcPr>
          <w:p>
            <w:r/>
            <w:r>
              <w:rPr>
                <w:sz w:val="19"/>
              </w:rPr>
              <w:t>26</w:t>
            </w:r>
          </w:p>
        </w:tc>
        <w:tc>
          <w:tcPr>
            <w:tcW w:type="dxa" w:w="3137"/>
            <w:shd w:fill="FAFAF8"/>
          </w:tcPr>
          <w:p>
            <w:r/>
            <w:r>
              <w:rPr>
                <w:sz w:val="19"/>
              </w:rPr>
              <w:t>Formatage des unités, messages texte déterministes, cohérence texte/graphique pour funnel et heatmap, description de ce qui a changé dans le tableau de bord.</w:t>
            </w:r>
          </w:p>
        </w:tc>
      </w:tr>
      <w:tr>
        <w:trPr>
          <w:cantSplit/>
        </w:trPr>
        <w:tc>
          <w:tcPr>
            <w:tcW w:type="dxa" w:w="3137"/>
          </w:tcPr>
          <w:p>
            <w:r/>
            <w:r>
              <w:rPr>
                <w:sz w:val="19"/>
              </w:rPr>
              <w:t>test_hot_deals.py</w:t>
            </w:r>
          </w:p>
        </w:tc>
        <w:tc>
          <w:tcPr>
            <w:tcW w:type="dxa" w:w="3137"/>
          </w:tcPr>
          <w:p>
            <w:r/>
            <w:r>
              <w:rPr>
                <w:sz w:val="19"/>
              </w:rPr>
              <w:t>9</w:t>
            </w:r>
          </w:p>
        </w:tc>
        <w:tc>
          <w:tcPr>
            <w:tcW w:type="dxa" w:w="3137"/>
          </w:tcPr>
          <w:p>
            <w:r/>
            <w:r>
              <w:rPr>
                <w:sz w:val="19"/>
              </w:rPr>
              <w:t>Le critere des affaires chaudes de bout en bout : seuil inclusif, statut sans effet, ponderation absente ecartee, accord entre la definition pandas et le SQL des KPI, et NULL plutot que NaN a l export.</w:t>
            </w:r>
          </w:p>
        </w:tc>
      </w:tr>
      <w:tr>
        <w:trPr>
          <w:cantSplit/>
        </w:trPr>
        <w:tc>
          <w:tcPr>
            <w:tcW w:type="dxa" w:w="3137"/>
            <w:shd w:fill="FAFAF8"/>
          </w:tcPr>
          <w:p>
            <w:r/>
            <w:r>
              <w:rPr>
                <w:sz w:val="19"/>
              </w:rPr>
              <w:t>test_accueil_dashboard.py</w:t>
            </w:r>
          </w:p>
        </w:tc>
        <w:tc>
          <w:tcPr>
            <w:tcW w:type="dxa" w:w="3137"/>
            <w:shd w:fill="FAFAF8"/>
          </w:tcPr>
          <w:p>
            <w:r/>
            <w:r>
              <w:rPr>
                <w:sz w:val="19"/>
              </w:rPr>
              <w:t>11</w:t>
            </w:r>
          </w:p>
        </w:tc>
        <w:tc>
          <w:tcPr>
            <w:tcW w:type="dxa" w:w="3137"/>
            <w:shd w:fill="FAFAF8"/>
          </w:tcPr>
          <w:p>
            <w:r/>
            <w:r>
              <w:rPr>
                <w:sz w:val="19"/>
              </w:rPr>
              <w:t>SQL de la vue d'ensemble exécuté sur des lignes fabriquées : seuil des affaires chaudes inclusif, issues qui totalisent les offres remises, taux de réussite calculé sur les seules offres décidées.</w:t>
            </w:r>
          </w:p>
        </w:tc>
      </w:tr>
      <w:tr>
        <w:trPr>
          <w:cantSplit/>
        </w:trPr>
        <w:tc>
          <w:tcPr>
            <w:tcW w:type="dxa" w:w="3137"/>
          </w:tcPr>
          <w:p>
            <w:r/>
            <w:r>
              <w:rPr>
                <w:sz w:val="19"/>
              </w:rPr>
              <w:t>test_palette.py</w:t>
            </w:r>
          </w:p>
        </w:tc>
        <w:tc>
          <w:tcPr>
            <w:tcW w:type="dxa" w:w="3137"/>
          </w:tcPr>
          <w:p>
            <w:r/>
            <w:r>
              <w:rPr>
                <w:sz w:val="19"/>
              </w:rPr>
              <w:t>3</w:t>
            </w:r>
          </w:p>
        </w:tc>
        <w:tc>
          <w:tcPr>
            <w:tcW w:type="dxa" w:w="3137"/>
          </w:tcPr>
          <w:p>
            <w:r/>
            <w:r>
              <w:rPr>
                <w:sz w:val="19"/>
              </w:rPr>
              <w:t>La palette de graphiques vit dans deux fichiers qui doivent rester identiques ; chaque teinte atteint 3:1 avec la surface ; aucune n est employee deux fois.</w:t>
            </w:r>
          </w:p>
        </w:tc>
      </w:tr>
      <w:tr>
        <w:trPr>
          <w:cantSplit/>
        </w:trPr>
        <w:tc>
          <w:tcPr>
            <w:tcW w:type="dxa" w:w="3137"/>
            <w:shd w:fill="FAFAF8"/>
          </w:tcPr>
          <w:p>
            <w:r/>
            <w:r>
              <w:rPr>
                <w:sz w:val="19"/>
              </w:rPr>
              <w:t>test_frontend_proxy.py</w:t>
            </w:r>
          </w:p>
        </w:tc>
        <w:tc>
          <w:tcPr>
            <w:tcW w:type="dxa" w:w="3137"/>
            <w:shd w:fill="FAFAF8"/>
          </w:tcPr>
          <w:p>
            <w:r/>
            <w:r>
              <w:rPr>
                <w:sz w:val="19"/>
              </w:rPr>
              <w:t>3</w:t>
            </w:r>
          </w:p>
        </w:tc>
        <w:tc>
          <w:tcPr>
            <w:tcW w:type="dxa" w:w="3137"/>
            <w:shd w:fill="FAFAF8"/>
          </w:tcPr>
          <w:p>
            <w:r/>
            <w:r>
              <w:rPr>
                <w:sz w:val="19"/>
              </w:rPr>
              <w:t>Les appels de src/api.js, les prefixes du proxy Vite et les routes de main.py doivent rester d accord ; le montage statique reste declare en dernier.</w:t>
            </w:r>
          </w:p>
        </w:tc>
      </w:tr>
      <w:tr>
        <w:trPr>
          <w:cantSplit/>
        </w:trPr>
        <w:tc>
          <w:tcPr>
            <w:tcW w:type="dxa" w:w="3137"/>
          </w:tcPr>
          <w:p>
            <w:r/>
            <w:r>
              <w:rPr>
                <w:sz w:val="19"/>
              </w:rPr>
              <w:t>test_alerts.py</w:t>
            </w:r>
          </w:p>
        </w:tc>
        <w:tc>
          <w:tcPr>
            <w:tcW w:type="dxa" w:w="3137"/>
          </w:tcPr>
          <w:p>
            <w:r/>
            <w:r>
              <w:rPr>
                <w:sz w:val="19"/>
              </w:rPr>
              <w:t>12</w:t>
            </w:r>
          </w:p>
        </w:tc>
        <w:tc>
          <w:tcPr>
            <w:tcW w:type="dxa" w:w="3137"/>
          </w:tcPr>
          <w:p>
            <w:r/>
            <w:r>
              <w:rPr>
                <w:sz w:val="19"/>
              </w:rPr>
              <w:t>Fenêtre de 7 jours, exclusion des statuts clos, envoi email, rattrapage idempotent du scheduler.</w:t>
            </w:r>
          </w:p>
        </w:tc>
      </w:tr>
    </w:tbl>
    <w:p/>
    <w:p>
      <w:pPr>
        <w:keepNext/>
        <w:spacing w:before="400" w:after="200"/>
        <w:pBdr>
          <w:bottom w:val="single" w:sz="18" w:space="4" w:color="D42A45"/>
        </w:pBdr>
      </w:pPr>
      <w:r>
        <w:rPr>
          <w:b/>
          <w:color w:val="F2405A"/>
          <w:sz w:val="36"/>
        </w:rPr>
        <w:t>16. Questions d'entretien probables</w:t>
      </w:r>
    </w:p>
    <w:p>
      <w:pPr>
        <w:keepNext/>
        <w:spacing w:before="200" w:after="80"/>
      </w:pPr>
      <w:r>
        <w:rPr>
          <w:b/>
          <w:color w:val="D42A45"/>
          <w:sz w:val="23"/>
        </w:rPr>
        <w:t>Q : Pourquoi ne pas laisser le LLM écrire du SQL directement ?</w:t>
      </w:r>
    </w:p>
    <w:p>
      <w:r>
        <w:rPr>
          <w:b w:val="0"/>
          <w:i w:val="0"/>
        </w:rPr>
        <w:t>Parce qu'un LLM peut halluciner une colonne, une table ou une valeur inexistante. En le limitant à produire un JSON borné par une liste blanche stricte (schema_and_whitelist.py), toute requête SQL exécutée est garantie syntaxiquement et sémantiquement valide, quelle que soit la sortie du modèle.</w:t>
      </w:r>
    </w:p>
    <w:p>
      <w:pPr>
        <w:keepNext/>
        <w:spacing w:before="200" w:after="80"/>
      </w:pPr>
      <w:r>
        <w:rPr>
          <w:b/>
          <w:color w:val="D42A45"/>
          <w:sz w:val="23"/>
        </w:rPr>
        <w:t>Q : Comment évitez-vous les hallucinations, concrètement ?</w:t>
      </w:r>
    </w:p>
    <w:p>
      <w:r>
        <w:rPr>
          <w:b w:val="0"/>
          <w:i w:val="0"/>
        </w:rPr>
        <w:t>Trois filets superposés : (1) Pydantic rejette toute clé de filtre hors liste blanche, (2) _fuzzy_match ne retourne jamais une valeur absente des données réelles — sinon IntentUnclear déclenche une clarification, (3) les dates relatives sont calculées par arithmétique Python déterministe, jamais devinées par le LLM.</w:t>
      </w:r>
    </w:p>
    <w:p>
      <w:pPr>
        <w:keepNext/>
        <w:spacing w:before="200" w:after="80"/>
      </w:pPr>
      <w:r>
        <w:rPr>
          <w:b/>
          <w:color w:val="D42A45"/>
          <w:sz w:val="23"/>
        </w:rPr>
        <w:t>Q : Pourquoi avoir supprimé la base de données ?</w:t>
      </w:r>
    </w:p>
    <w:p>
      <w:r>
        <w:rPr>
          <w:b w:val="0"/>
          <w:i w:val="0"/>
        </w:rPr>
        <w:t>Parce qu'elle ne servait plus à rien. Depuis que les équipes saisissent dans le Google Sheet, MySQL n'était qu'un intermédiaire : on y recopiait le Sheet toutes les 15 minutes pour le relire juste après. Avec ~360 lignes et 18 colonnes, les données tiennent en mémoire dans un DataFrame pandas. Bénéfice mesurable au-delà de l'installation simplifiée : toute la machinerie de vues pré-agrégées (choix de vue, vérification de compatibilité, repli sur un calcul brut) a disparu, car pandas groupe uniformément. Ce choix serait à revoir à partir de quelques dizaines de milliers de lignes, ou s'il fallait des écritures concurrentes.</w:t>
      </w:r>
    </w:p>
    <w:p>
      <w:pPr>
        <w:keepNext/>
        <w:spacing w:before="200" w:after="80"/>
      </w:pPr>
      <w:r>
        <w:rPr>
          <w:b/>
          <w:color w:val="D42A45"/>
          <w:sz w:val="23"/>
        </w:rPr>
        <w:t>Q : Si les données sont dans pandas, pourquoi un fichier DuckDB ?</w:t>
      </w:r>
    </w:p>
    <w:p>
      <w:r>
        <w:rPr>
          <w:b w:val="0"/>
          <w:i w:val="0"/>
        </w:rPr>
        <w:t>Parce que le moteur de tableaux de bord (Bruin DAC) ne sait interroger que des connexions SQL. DuckDB est une projection en lecture seule du DataFrame, régénérée à chaque rafraîchissement — pas un retour à une base de données : aucun code applicatif ne la lit. pandas reste la source de vérité, ce qui garantit que le chat et les tableaux de bord ne peuvent pas afficher des chiffres différents.</w:t>
      </w:r>
    </w:p>
    <w:p>
      <w:pPr>
        <w:keepNext/>
        <w:spacing w:before="200" w:after="80"/>
      </w:pPr>
      <w:r>
        <w:rPr>
          <w:b/>
          <w:color w:val="D42A45"/>
          <w:sz w:val="23"/>
        </w:rPr>
        <w:t>Q : Pourquoi ne pas laisser l'IA écrire les tableaux de bord librement ?</w:t>
      </w:r>
    </w:p>
    <w:p>
      <w:r>
        <w:rPr>
          <w:b w:val="0"/>
          <w:i w:val="0"/>
        </w:rPr>
        <w:t>Elle les écrit — mais pas le SQL. Le modèle produit une intention validée contre la liste blanche, et du code déterministe la traduit en requêtes. Laisser le modèle produire le SQL rouvrirait exactement la classe de bugs que tout le projet empêche : colonne inventée, filtre halluciné, agrégation silencieusement fausse. Le coût de cette contrainte est nul en pratique, puisque les 18 colonnes fixes du Sheet sont déjà entièrement décrites par la liste blanche.</w:t>
      </w:r>
    </w:p>
    <w:p>
      <w:pPr>
        <w:keepNext/>
        <w:spacing w:before="200" w:after="80"/>
      </w:pPr>
      <w:r>
        <w:rPr>
          <w:b/>
          <w:color w:val="D42A45"/>
          <w:sz w:val="23"/>
        </w:rPr>
        <w:t>Q : Comment gérez-vous le contexte multi-tour sans session serveur ?</w:t>
      </w:r>
    </w:p>
    <w:p>
      <w:r>
        <w:rPr>
          <w:b w:val="0"/>
          <w:i w:val="0"/>
        </w:rPr>
        <w:t>Le frontend renvoie le dernier intent résolu (previous_intent) à chaque nouvelle question. Dès qu'un contexte est présent, le parseur rapide est systématiquement court-circuité au profit du LLM, à qui ce contexte est injecté dans le prompt système pour qu'il décide d'hériter ou non des paramètres précédents.</w:t>
      </w:r>
    </w:p>
    <w:p>
      <w:pPr>
        <w:keepNext/>
        <w:spacing w:before="200" w:after="80"/>
      </w:pPr>
      <w:r>
        <w:rPr>
          <w:b/>
          <w:color w:val="D42A45"/>
          <w:sz w:val="23"/>
        </w:rPr>
        <w:t>Q : Comment garantissez-vous que « jours restants » n'est jamais obsolète ?</w:t>
      </w:r>
    </w:p>
    <w:p>
      <w:r>
        <w:rPr>
          <w:b w:val="0"/>
          <w:i w:val="0"/>
        </w:rPr>
        <w:t>Par construction, plus par un job de maintenance. Cette valeur est recalculée à chaque chargement des données (toutes les 15 minutes) depuis la deadline réelle et la date du jour. Auparavant, c'était une colonne figée qu'un job nocturne rafraîchissait — avec le risque classique d'une dérive si le job était manqué. Le module de maintenance dédié a pu être supprimé : le mécanisme le plus fiable est ici celui qu'on a retiré.</w:t>
      </w:r>
    </w:p>
    <w:p>
      <w:pPr>
        <w:keepNext/>
        <w:spacing w:before="200" w:after="80"/>
      </w:pPr>
      <w:r>
        <w:rPr>
          <w:b/>
          <w:color w:val="D42A45"/>
          <w:sz w:val="23"/>
        </w:rPr>
        <w:t>Q : Que se passe-t-il si le LLM renvoie un JSON malformé ou un schéma invalide ?</w:t>
      </w:r>
    </w:p>
    <w:p>
      <w:r>
        <w:rPr>
          <w:b w:val="0"/>
          <w:i w:val="0"/>
        </w:rPr>
        <w:t>json.JSONDecodeError et pydantic.ValidationError sont interceptées explicitement et transformées en message de clarification pour l'utilisateur — jamais une exception non gérée ni une réponse partiellement remplie.</w:t>
      </w:r>
    </w:p>
    <w:p>
      <w:pPr>
        <w:keepNext/>
        <w:spacing w:before="200" w:after="80"/>
      </w:pPr>
      <w:r>
        <w:rPr>
          <w:b/>
          <w:color w:val="D42A45"/>
          <w:sz w:val="23"/>
        </w:rPr>
        <w:t>Q : Comment le système empêche-t-il un graphique illisible (trop de catégories) ?</w:t>
      </w:r>
    </w:p>
    <w:p>
      <w:r>
        <w:rPr>
          <w:b w:val="0"/>
          <w:i w:val="0"/>
        </w:rPr>
        <w:t>MAX_PIE_SLICES (6) et MAX_BAR_CATEGORIES (12) : au-delà, un camembert bascule en barres horizontales, et la traîne est regroupée dans « Autres » pour les agrégations sum/count (jamais pour une moyenne, qui n'aurait pas de sens agrégée).</w:t>
      </w:r>
    </w:p>
    <w:p>
      <w:pPr>
        <w:keepNext/>
        <w:spacing w:before="200" w:after="80"/>
      </w:pPr>
      <w:r>
        <w:rPr>
          <w:b/>
          <w:color w:val="D42A45"/>
          <w:sz w:val="23"/>
        </w:rPr>
        <w:t>Q : Une instruction de prompt suffit-elle à garantir un comportement du LLM ?</w:t>
      </w:r>
    </w:p>
    <w:p>
      <w:r>
        <w:rPr>
          <w:b w:val="0"/>
          <w:i w:val="0"/>
        </w:rPr>
        <w:t>Non — observé concrètement : une question de corrélation était systématiquement interprétée comme un simple KPI malgré un exemple few-shot explicite, parce que le parseur rapide (mots-clés, avant même l'appel LLM) l'interceptait avec une confiance mal placée. Corrigé en élargissant la détection de mots-clés — la leçon : diagnostiquer d'abord QUEL composant a décidé avant de corriger le prompt, le problème n'est pas toujours là où on l'imagine.</w:t>
      </w:r>
    </w:p>
    <w:p>
      <w:pPr>
        <w:keepNext/>
        <w:spacing w:before="200" w:after="80"/>
      </w:pPr>
      <w:r>
        <w:rPr>
          <w:b/>
          <w:color w:val="D42A45"/>
          <w:sz w:val="23"/>
        </w:rPr>
        <w:t>Q : Pourquoi corriger le bug days_remaining à trois endroits différents ?</w:t>
      </w:r>
    </w:p>
    <w:p>
      <w:r>
        <w:rPr>
          <w:b w:val="0"/>
          <w:i w:val="0"/>
        </w:rPr>
        <w:t>Défense en profondeur, le même principe que l'anti-hallucination générale du projet : le chemin rapide et le prompt LLM sont corrigés pour ne plus produire le bug, ET un garde-fou déterministe dans refine_intent() normalise le résultat quelle que soit son origine — utile si jamais les deux premiers correctifs sont un jour contournés par une reformulation imprévue.</w:t>
      </w:r>
    </w:p>
    <w:p>
      <w:pPr>
        <w:keepNext/>
        <w:spacing w:before="200" w:after="80"/>
      </w:pPr>
      <w:r>
        <w:rPr>
          <w:b/>
          <w:color w:val="D42A45"/>
          <w:sz w:val="23"/>
        </w:rPr>
        <w:t>Q : Comment garantis-tu qu'un email d'alerte n'est jamais envoyé deux fois le même jour ?</w:t>
      </w:r>
    </w:p>
    <w:p>
      <w:r>
        <w:rPr>
          <w:b w:val="0"/>
          <w:i w:val="0"/>
        </w:rPr>
        <w:t>Un fichier local (data/scheduler_state.json) trace la date de dernière exécution par job — c'était une table MySQL avant la suppression de la base. run_daily_alert_check_if_needed() vérifie cette date avant d'agir, et la met à jour après — appelée à la fois par le cron 8h et au démarrage du serveur, donc un redémarrage tardif rattrape l'envoi manqué sans risquer un doublon si le cron avait déjà tourné plus tôt dans la journée. Nuance de robustesse : si la lecture de ce fichier échoue, l'alerte part quand même — un mécanisme de suivi cassé ne doit jamais supprimer silencieusement l'alerte qu'il protège.</w:t>
      </w:r>
    </w:p>
    <w:p>
      <w:pPr>
        <w:keepNext/>
        <w:spacing w:before="200" w:after="80"/>
      </w:pPr>
      <w:r>
        <w:rPr>
          <w:b/>
          <w:color w:val="D42A45"/>
          <w:sz w:val="23"/>
        </w:rPr>
        <w:t>Q : Comment as-tu trouvé les bugs de contraste en mode sombre sans navigateur ni capture d'écran ?</w:t>
      </w:r>
    </w:p>
    <w:p>
      <w:r>
        <w:rPr>
          <w:b w:val="0"/>
          <w:i w:val="0"/>
        </w:rPr>
        <w:t>En lisant le CSS ligne par ligne plutôt qu'en devinant : chercher chaque endroit où une couleur qui change avec le thème (var(--text-primary), un color-mix vers un noir/blanc littéral) est combinée avec une couleur de texte fixe. Le header avait un texte blanc fixe sur un dégradé qui finissait par --text-primary — blanc lui aussi en mode sombre. Un raisonnement statique suffit à repérer ce type de bug ; il n'a fallu aucun rendu réel pour le localiser, seulement pour le confirmer visuellement ensuite.</w:t>
      </w:r>
    </w:p>
    <w:p>
      <w:pPr>
        <w:keepNext/>
        <w:spacing w:before="200" w:after="80"/>
      </w:pPr>
      <w:r>
        <w:rPr>
          <w:b/>
          <w:color w:val="D42A45"/>
          <w:sz w:val="23"/>
        </w:rPr>
        <w:t>Q : Un test avec des mocks peut-il garantir qu'une intégration externe fonctionne réellement ?</w:t>
      </w:r>
    </w:p>
    <w:p>
      <w:r>
        <w:rPr>
          <w:b w:val="0"/>
          <w:i w:val="0"/>
        </w:rPr>
        <w:t>Non — exemple concret rencontré sur ce projet, à l'époque où les données transitaient encore par MySQL : tous les tests mockés passaient, mais le premier essai en conditions réelles rapportait 359 lignes sur 360 comme « id introuvable » alors qu'elles existaient toutes. La cause (cursor.rowcount qui compte les lignes modifiées, pas trouvées) n'était visible qu'avec de vraies données où la plupart des mises à jour ne changent rien. Les mocks avaient simulé le comportement qu'on ATTENDAIT, pas le vrai — la leçon : les mocks valident la logique connue, seule une vérification en conditions réelles révèle ce qu'on n'avait pas anticipé.</w:t>
      </w:r>
    </w:p>
    <w:p>
      <w:pPr>
        <w:keepNext/>
        <w:spacing w:before="200" w:after="80"/>
      </w:pPr>
      <w:r>
        <w:rPr>
          <w:b/>
          <w:color w:val="D42A45"/>
          <w:sz w:val="23"/>
        </w:rPr>
        <w:t>Q : Quel bug ce projet vous a-t-il appris à chercher en priorité ?</w:t>
      </w:r>
    </w:p>
    <w:p>
      <w:r>
        <w:rPr>
          <w:b w:val="0"/>
          <w:i w:val="0"/>
        </w:rPr>
        <w:t>Ceux qui produisent un résultat plausible plutôt qu'une erreur. Trois exemples réels : une liste d'opportunités « urgentes » qui incluait des échéances dépassées (moins sept jours est bien inférieur à sept, mathématiquement juste et sémantiquement faux) ; un texte qui décrivait dix-neuf statuts quand le graphique n'en montrait que dix ; et un widget « budget par practice » réduit à une seule barre parce que la question filtrait déjà sur une practice. Aucun ne lève d'exception, aucun n'échoue en test unitaire — ils se voient seulement en regardant le résultat final avec de vraies données.</w:t>
      </w:r>
    </w:p>
    <w:p>
      <w:pPr>
        <w:keepNext/>
        <w:spacing w:before="200" w:after="80"/>
      </w:pPr>
      <w:r>
        <w:rPr>
          <w:b/>
          <w:color w:val="D42A45"/>
          <w:sz w:val="23"/>
        </w:rPr>
        <w:t>Q : Que se passe-t-il si la génération du tableau de bord échoue ?</w:t>
      </w:r>
    </w:p>
    <w:p>
      <w:r>
        <w:rPr>
          <w:b w:val="0"/>
          <w:i w:val="0"/>
        </w:rPr>
        <w:t>La réponse textuelle est renvoyée quand même : l'appel est enveloppé dans un try/except et l'échec est journalisé, pas propagé. Le frontend retombe alors sur la vue d'ensemble. Même principe pour la projection DuckDB : si le fichier est momentanément verrouillé, l'ancien est conservé et les tableaux de bord affichent des données d'un cycle plus anciennes — jamais une erreur à l'écran, jamais une base vide.</w:t>
      </w:r>
    </w:p>
    <w:p>
      <w:pPr>
        <w:keepNext/>
        <w:spacing w:before="400" w:after="200"/>
        <w:pBdr>
          <w:bottom w:val="single" w:sz="18" w:space="4" w:color="D42A45"/>
        </w:pBdr>
      </w:pPr>
      <w:r>
        <w:rPr>
          <w:b/>
          <w:color w:val="F2405A"/>
          <w:sz w:val="36"/>
        </w:rPr>
        <w:t>17. Les deux modes d'exécution</w:t>
      </w:r>
    </w:p>
    <w:p>
      <w:r>
        <w:rPr>
          <w:b w:val="0"/>
          <w:i w:val="0"/>
        </w:rPr>
        <w:t>Sur le poste du développeur, l'application se lance de deux façons, et se tromper est silencieux. Un raccourci de Bureau existe pour chacune (scripts/create_shortcut.ps1 les crée, avec un troisième pour Docker — section 19, le mode à utiliser sur tout autre poste).</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fill="F2405A"/>
          </w:tcPr>
          <w:p>
            <w:r/>
            <w:r>
              <w:rPr>
                <w:b/>
                <w:color w:val="FFFFFF"/>
                <w:sz w:val="19"/>
              </w:rPr>
            </w:r>
          </w:p>
        </w:tc>
        <w:tc>
          <w:tcPr>
            <w:tcW w:type="dxa" w:w="3137"/>
            <w:shd w:fill="F2405A"/>
          </w:tcPr>
          <w:p>
            <w:r/>
            <w:r>
              <w:rPr>
                <w:b/>
                <w:color w:val="FFFFFF"/>
                <w:sz w:val="19"/>
              </w:rPr>
              <w:t>Développement</w:t>
            </w:r>
          </w:p>
        </w:tc>
        <w:tc>
          <w:tcPr>
            <w:tcW w:type="dxa" w:w="3137"/>
            <w:shd w:fill="F2405A"/>
          </w:tcPr>
          <w:p>
            <w:r/>
            <w:r>
              <w:rPr>
                <w:b/>
                <w:color w:val="FFFFFF"/>
                <w:sz w:val="19"/>
              </w:rPr>
              <w:t>Production</w:t>
            </w:r>
          </w:p>
        </w:tc>
      </w:tr>
      <w:tr>
        <w:trPr>
          <w:cantSplit/>
        </w:trPr>
        <w:tc>
          <w:tcPr>
            <w:tcW w:type="dxa" w:w="3137"/>
          </w:tcPr>
          <w:p>
            <w:r/>
            <w:r>
              <w:rPr>
                <w:sz w:val="19"/>
              </w:rPr>
              <w:t>Lanceur</w:t>
            </w:r>
          </w:p>
        </w:tc>
        <w:tc>
          <w:tcPr>
            <w:tcW w:type="dxa" w:w="3137"/>
          </w:tcPr>
          <w:p>
            <w:r/>
            <w:r>
              <w:rPr>
                <w:sz w:val="19"/>
              </w:rPr>
              <w:t>scripts/start_dev.bat</w:t>
            </w:r>
          </w:p>
        </w:tc>
        <w:tc>
          <w:tcPr>
            <w:tcW w:type="dxa" w:w="3137"/>
          </w:tcPr>
          <w:p>
            <w:r/>
            <w:r>
              <w:rPr>
                <w:sz w:val="19"/>
              </w:rPr>
              <w:t>scripts/start_prod.bat</w:t>
            </w:r>
          </w:p>
        </w:tc>
      </w:tr>
      <w:tr>
        <w:trPr>
          <w:cantSplit/>
        </w:trPr>
        <w:tc>
          <w:tcPr>
            <w:tcW w:type="dxa" w:w="3137"/>
            <w:shd w:fill="FAFAF8"/>
          </w:tcPr>
          <w:p>
            <w:r/>
            <w:r>
              <w:rPr>
                <w:sz w:val="19"/>
              </w:rPr>
              <w:t>Processus</w:t>
            </w:r>
          </w:p>
        </w:tc>
        <w:tc>
          <w:tcPr>
            <w:tcW w:type="dxa" w:w="3137"/>
            <w:shd w:fill="FAFAF8"/>
          </w:tcPr>
          <w:p>
            <w:r/>
            <w:r>
              <w:rPr>
                <w:sz w:val="19"/>
              </w:rPr>
              <w:t>3 (API, DAC, Vite)</w:t>
            </w:r>
          </w:p>
        </w:tc>
        <w:tc>
          <w:tcPr>
            <w:tcW w:type="dxa" w:w="3137"/>
            <w:shd w:fill="FAFAF8"/>
          </w:tcPr>
          <w:p>
            <w:r/>
            <w:r>
              <w:rPr>
                <w:sz w:val="19"/>
              </w:rPr>
              <w:t>2 (API + interface, DAC)</w:t>
            </w:r>
          </w:p>
        </w:tc>
      </w:tr>
      <w:tr>
        <w:trPr>
          <w:cantSplit/>
        </w:trPr>
        <w:tc>
          <w:tcPr>
            <w:tcW w:type="dxa" w:w="3137"/>
          </w:tcPr>
          <w:p>
            <w:r/>
            <w:r>
              <w:rPr>
                <w:sz w:val="19"/>
              </w:rPr>
              <w:t>Frontend</w:t>
            </w:r>
          </w:p>
        </w:tc>
        <w:tc>
          <w:tcPr>
            <w:tcW w:type="dxa" w:w="3137"/>
          </w:tcPr>
          <w:p>
            <w:r/>
            <w:r>
              <w:rPr>
                <w:sz w:val="19"/>
              </w:rPr>
              <w:t>servi par Vite, port 5173</w:t>
            </w:r>
          </w:p>
        </w:tc>
        <w:tc>
          <w:tcPr>
            <w:tcW w:type="dxa" w:w="3137"/>
          </w:tcPr>
          <w:p>
            <w:r/>
            <w:r>
              <w:rPr>
                <w:sz w:val="19"/>
              </w:rPr>
              <w:t>compilé, servi par le backend</w:t>
            </w:r>
          </w:p>
        </w:tc>
      </w:tr>
      <w:tr>
        <w:trPr>
          <w:cantSplit/>
        </w:trPr>
        <w:tc>
          <w:tcPr>
            <w:tcW w:type="dxa" w:w="3137"/>
            <w:shd w:fill="FAFAF8"/>
          </w:tcPr>
          <w:p>
            <w:r/>
            <w:r>
              <w:rPr>
                <w:sz w:val="19"/>
              </w:rPr>
              <w:t>Adresse</w:t>
            </w:r>
          </w:p>
        </w:tc>
        <w:tc>
          <w:tcPr>
            <w:tcW w:type="dxa" w:w="3137"/>
            <w:shd w:fill="FAFAF8"/>
          </w:tcPr>
          <w:p>
            <w:r/>
            <w:r>
              <w:rPr>
                <w:sz w:val="19"/>
              </w:rPr>
              <w:t>http://localhost:5173</w:t>
            </w:r>
          </w:p>
        </w:tc>
        <w:tc>
          <w:tcPr>
            <w:tcW w:type="dxa" w:w="3137"/>
            <w:shd w:fill="FAFAF8"/>
          </w:tcPr>
          <w:p>
            <w:r/>
            <w:r>
              <w:rPr>
                <w:sz w:val="19"/>
              </w:rPr>
              <w:t>http://127.0.0.1:8000</w:t>
            </w:r>
          </w:p>
        </w:tc>
      </w:tr>
      <w:tr>
        <w:trPr>
          <w:cantSplit/>
        </w:trPr>
        <w:tc>
          <w:tcPr>
            <w:tcW w:type="dxa" w:w="3137"/>
          </w:tcPr>
          <w:p>
            <w:r/>
            <w:r>
              <w:rPr>
                <w:sz w:val="19"/>
              </w:rPr>
              <w:t>Rechargement à chaud</w:t>
            </w:r>
          </w:p>
        </w:tc>
        <w:tc>
          <w:tcPr>
            <w:tcW w:type="dxa" w:w="3137"/>
          </w:tcPr>
          <w:p>
            <w:r/>
            <w:r>
              <w:rPr>
                <w:sz w:val="19"/>
              </w:rPr>
              <w:t>oui (--reload)</w:t>
            </w:r>
          </w:p>
        </w:tc>
        <w:tc>
          <w:tcPr>
            <w:tcW w:type="dxa" w:w="3137"/>
          </w:tcPr>
          <w:p>
            <w:r/>
            <w:r>
              <w:rPr>
                <w:sz w:val="19"/>
              </w:rPr>
              <w:t>non</w:t>
            </w:r>
          </w:p>
        </w:tc>
      </w:tr>
      <w:tr>
        <w:trPr>
          <w:cantSplit/>
        </w:trPr>
        <w:tc>
          <w:tcPr>
            <w:tcW w:type="dxa" w:w="3137"/>
            <w:shd w:fill="FAFAF8"/>
          </w:tcPr>
          <w:p>
            <w:r/>
            <w:r>
              <w:rPr>
                <w:sz w:val="19"/>
              </w:rPr>
              <w:t>Workers uvicorn</w:t>
            </w:r>
          </w:p>
        </w:tc>
        <w:tc>
          <w:tcPr>
            <w:tcW w:type="dxa" w:w="3137"/>
            <w:shd w:fill="FAFAF8"/>
          </w:tcPr>
          <w:p>
            <w:r/>
            <w:r>
              <w:rPr>
                <w:sz w:val="19"/>
              </w:rPr>
              <w:t>1</w:t>
            </w:r>
          </w:p>
        </w:tc>
        <w:tc>
          <w:tcPr>
            <w:tcW w:type="dxa" w:w="3137"/>
            <w:shd w:fill="FAFAF8"/>
          </w:tcPr>
          <w:p>
            <w:r/>
            <w:r>
              <w:rPr>
                <w:sz w:val="19"/>
              </w:rPr>
              <w:t>1 (imposé)</w:t>
            </w:r>
          </w:p>
        </w:tc>
      </w:tr>
    </w:tbl>
    <w:p/>
    <w:p>
      <w:r>
        <w:rPr>
          <w:b w:val="0"/>
          <w:i w:val="0"/>
        </w:rPr>
        <w:t>Trois différences méritent leur justification. Le rechargement à chaud surveille l'arborescence — que l'application modifie elle-même, puisque chaque question réécrit dac/dashboards/_principal.yml : en production, le serveur se redémarrerait à chaque réponse qu'il vient de produire. Le frontend doit être compilé AVANT le démarrage, car le backend sert frontend/dist tel qu'il le trouve : partir sur une compilation périmée afficherait l'ancienne interface sans le moindre signe, et le script s'arrête donc si npm run build échoue. Enfin un seul worker, parce que le jeu de données vit en mémoire dans le processus et qu'un planificateur y tourne : plusieurs workers garderaient chacun leur copie des données ET relanceraient le planificateur — emails d'alerte en double, rafraîchissements concurrents des données.</w:t>
      </w:r>
    </w:p>
    <w:p>
      <w:pPr>
        <w:spacing w:before="40"/>
      </w:pPr>
      <w:r>
        <w:rPr>
          <w:i/>
          <w:color w:val="52514E"/>
          <w:sz w:val="19"/>
        </w:rPr>
        <w:t>tests/test_lanceurs.py confronte les deux scripts : ils ne peuvent pas dériver l'un vers l'autre sans faire échouer les tests.</w:t>
      </w:r>
    </w:p>
    <w:p>
      <w:pPr>
        <w:keepNext/>
        <w:spacing w:before="400" w:after="200"/>
        <w:pBdr>
          <w:bottom w:val="single" w:sz="18" w:space="4" w:color="D42A45"/>
        </w:pBdr>
      </w:pPr>
      <w:r>
        <w:rPr>
          <w:b/>
          <w:color w:val="F2405A"/>
          <w:sz w:val="36"/>
        </w:rPr>
        <w:t>18. Limites connues</w:t>
      </w:r>
    </w:p>
    <w:p>
      <w:pPr>
        <w:pStyle w:val="ListBullet"/>
      </w:pPr>
      <w:r>
        <w:t>Ollama, le fournisseur actuel (local, remplaçant Gemini — section 2.2), supporte aussi les sorties structurées strictes (un JSON Schema, pas seulement le mode "json" libre utilisé aujourd'hui), mais l'app garde volontairement l'architecture JSON libre héritée des fournisseurs précédents (Groq, Gemini) — le filet de sécurité Pydantic + liste blanche reste donc le mécanisme d'application des règles, plutôt qu'une garantie au niveau du schéma du modèle. Adopter le mode strict resterait une amélioration possible.</w:t>
      </w:r>
    </w:p>
    <w:p>
      <w:pPr>
        <w:pStyle w:val="ListBullet"/>
      </w:pPr>
      <w:r>
        <w:t>L'historique de conversation persistant (localStorage) est par navigateur/appareil, pas partagé entre postes — nécessiterait un compte utilisateur pour ça.</w:t>
      </w:r>
    </w:p>
    <w:p>
      <w:pPr>
        <w:pStyle w:val="ListBullet"/>
      </w:pPr>
      <w:r>
        <w:t>Trois processus doivent tourner (API, serveur DAC sur le port 8321, frontend) au lieu d'un seul. scripts/start_dev.bat les lance ensemble, mais un tableau de bord vide dans l'iframe signifie presque toujours que le serveur DAC n'est pas démarré.</w:t>
      </w:r>
    </w:p>
    <w:p>
      <w:pPr>
        <w:pStyle w:val="ListBullet"/>
      </w:pPr>
      <w:r>
        <w:t>Un thème DAC est fixé au lancement du serveur : le mode sombre des tableaux de bord demande donc un SECOND serveur DAC (port 8322), qui double la mémoire et les requêtes de démarrage à froid. S'il ne tourne pas, l'affichage reprend le thème clair plutôt que de rester vide.</w:t>
      </w:r>
    </w:p>
    <w:p>
      <w:pPr>
        <w:pStyle w:val="ListBullet"/>
      </w:pPr>
      <w:r>
        <w:t>La toute première requête d'un widget prend environ 12 secondes (démarrage à froid du moteur de requête), puis ~400 ms. Sensible uniquement au premier chargement après démarrage.</w:t>
      </w:r>
    </w:p>
    <w:p>
      <w:pPr>
        <w:pStyle w:val="ListBullet"/>
      </w:pPr>
      <w:r>
        <w:t>Le chargement retraite chaque ligne du Sheet à chaque cycle plutôt que de ne toucher que les lignes modifiées — sans impact réel à l'échelle actuelle (~360 lignes toutes les 15 minutes), à reconsidérer si le Sheet grossissait beaucoup.</w:t>
      </w:r>
    </w:p>
    <w:p>
      <w:pPr>
        <w:pStyle w:val="ListBullet"/>
      </w:pPr>
      <w:r>
        <w:t>Les retouches appliquées par le code ne couvrent pas les valeurs dynamiques : « en camembert » ou « par practice » sont traités sans appel au modèle, mais « et pour le Maroc ? » repart par le chemin complet, la liste des pays venant des données. Délibéré — mieux vaut un appel de plus qu'un filtre pays silencieusement ignoré (section 9.4).</w:t>
      </w:r>
    </w:p>
    <w:p>
      <w:pPr>
        <w:pStyle w:val="ListBullet"/>
      </w:pPr>
      <w:r>
        <w:t>Le tableau de bord de travail est un fichier unique côté serveur : deux personnes utilisant l'application en même temps réécriraient le même. Sans effet en usage local mono-utilisateur, bloquant pour un déploiement multi-utilisateurs — qui demanderait de toute façon une authentification.</w:t>
      </w:r>
    </w:p>
    <w:p>
      <w:pPr>
        <w:pStyle w:val="ListBullet"/>
      </w:pPr>
      <w:r>
        <w:t>Le mot « urgentes » seul ne pose aucun filtre de délai : il faut « urgentes (&lt; 7 jours) » pour borner l'échéance. Comportement volontaire — ne rien deviner — mais qui surprend au premier essai.</w:t>
      </w:r>
    </w:p>
    <w:p>
      <w:pPr>
        <w:keepNext/>
        <w:spacing w:before="400" w:after="200"/>
        <w:pBdr>
          <w:bottom w:val="single" w:sz="18" w:space="4" w:color="D42A45"/>
        </w:pBdr>
      </w:pPr>
      <w:r>
        <w:rPr>
          <w:b/>
          <w:color w:val="F2405A"/>
          <w:sz w:val="36"/>
        </w:rPr>
        <w:t>19. Déploiement sur un poste neuf (Docker, INSTALLER.bat)</w:t>
      </w:r>
    </w:p>
    <w:p>
      <w:r>
        <w:rPr>
          <w:b w:val="0"/>
          <w:i w:val="0"/>
        </w:rPr>
        <w:t>Une troisième façon de lancer l'application, et la seule recommandée sur un autre poste que celui du développeur : trois conteneurs (backend, dac-light, dac-dark) plus un conteneur ponctuel (frontend-build) qui compile l'interface à chaque démarrage. Le modèle de langage, lui, tourne sur la machine hôte, jamais dans un conteneur. Tout est orchestré par INSTALLER.bat, en sept étapes idempotentes : chacune vérifie d'abord si elle est déjà faite.</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fill="F2405A"/>
          </w:tcPr>
          <w:p>
            <w:r/>
            <w:r>
              <w:rPr>
                <w:b/>
                <w:color w:val="FFFFFF"/>
                <w:sz w:val="19"/>
              </w:rPr>
              <w:t>Étape</w:t>
            </w:r>
          </w:p>
        </w:tc>
        <w:tc>
          <w:tcPr>
            <w:tcW w:type="dxa" w:w="3137"/>
            <w:shd w:fill="F2405A"/>
          </w:tcPr>
          <w:p>
            <w:r/>
            <w:r>
              <w:rPr>
                <w:b/>
                <w:color w:val="FFFFFF"/>
                <w:sz w:val="19"/>
              </w:rPr>
              <w:t>Ce qu'elle fait</w:t>
            </w:r>
          </w:p>
        </w:tc>
        <w:tc>
          <w:tcPr>
            <w:tcW w:type="dxa" w:w="3137"/>
            <w:shd w:fill="F2405A"/>
          </w:tcPr>
          <w:p>
            <w:r/>
            <w:r>
              <w:rPr>
                <w:b/>
                <w:color w:val="FFFFFF"/>
                <w:sz w:val="19"/>
              </w:rPr>
              <w:t>Point délicat traité</w:t>
            </w:r>
          </w:p>
        </w:tc>
      </w:tr>
      <w:tr>
        <w:trPr>
          <w:cantSplit/>
        </w:trPr>
        <w:tc>
          <w:tcPr>
            <w:tcW w:type="dxa" w:w="3137"/>
          </w:tcPr>
          <w:p>
            <w:r/>
            <w:r>
              <w:rPr>
                <w:sz w:val="19"/>
              </w:rPr>
              <w:t>1/7 Dossier</w:t>
            </w:r>
          </w:p>
        </w:tc>
        <w:tc>
          <w:tcPr>
            <w:tcW w:type="dxa" w:w="3137"/>
          </w:tcPr>
          <w:p>
            <w:r/>
            <w:r>
              <w:rPr>
                <w:sz w:val="19"/>
              </w:rPr>
              <w:t>Exige un .git ; affiche la RAM.</w:t>
            </w:r>
          </w:p>
        </w:tc>
        <w:tc>
          <w:tcPr>
            <w:tcW w:type="dxa" w:w="3137"/>
          </w:tcPr>
          <w:p>
            <w:r/>
            <w:r>
              <w:rPr>
                <w:sz w:val="19"/>
              </w:rPr>
              <w:t>bruin refuse toute requête sans racine de dépôt Git : un « Download ZIP » laisserait tous les tableaux de bord vides, sans erreur.</w:t>
            </w:r>
          </w:p>
        </w:tc>
      </w:tr>
      <w:tr>
        <w:trPr>
          <w:cantSplit/>
        </w:trPr>
        <w:tc>
          <w:tcPr>
            <w:tcW w:type="dxa" w:w="3137"/>
            <w:shd w:fill="FAFAF8"/>
          </w:tcPr>
          <w:p>
            <w:r/>
            <w:r>
              <w:rPr>
                <w:sz w:val="19"/>
              </w:rPr>
              <w:t>2/7 Docker</w:t>
            </w:r>
          </w:p>
        </w:tc>
        <w:tc>
          <w:tcPr>
            <w:tcW w:type="dxa" w:w="3137"/>
            <w:shd w:fill="FAFAF8"/>
          </w:tcPr>
          <w:p>
            <w:r/>
            <w:r>
              <w:rPr>
                <w:sz w:val="19"/>
              </w:rPr>
              <w:t>Installe Docker Desktop s'il manque, puis s'arrête volontairement (redémarrage, premier lancement).</w:t>
            </w:r>
          </w:p>
        </w:tc>
        <w:tc>
          <w:tcPr>
            <w:tcW w:type="dxa" w:w="3137"/>
            <w:shd w:fill="FAFAF8"/>
          </w:tcPr>
          <w:p>
            <w:r/>
            <w:r>
              <w:rPr>
                <w:sz w:val="19"/>
              </w:rPr>
              <w:t>winget peut manquer (Windows neuf, Store bloqué) : repli sur l'installeur officiel téléchargé par curl ; %20 échappé en %%20 dans l'URL.</w:t>
            </w:r>
          </w:p>
        </w:tc>
      </w:tr>
      <w:tr>
        <w:trPr>
          <w:cantSplit/>
        </w:trPr>
        <w:tc>
          <w:tcPr>
            <w:tcW w:type="dxa" w:w="3137"/>
          </w:tcPr>
          <w:p>
            <w:r/>
            <w:r>
              <w:rPr>
                <w:sz w:val="19"/>
              </w:rPr>
              <w:t>3/7 Démarrage</w:t>
            </w:r>
          </w:p>
        </w:tc>
        <w:tc>
          <w:tcPr>
            <w:tcW w:type="dxa" w:w="3137"/>
          </w:tcPr>
          <w:p>
            <w:r/>
            <w:r>
              <w:rPr>
                <w:sz w:val="19"/>
              </w:rPr>
              <w:t>Attend jusqu'à une minute que Docker réponde.</w:t>
            </w:r>
          </w:p>
        </w:tc>
        <w:tc>
          <w:tcPr>
            <w:tcW w:type="dxa" w:w="3137"/>
          </w:tcPr>
          <w:p>
            <w:r/>
            <w:r>
              <w:rPr>
                <w:sz w:val="19"/>
              </w:rPr>
              <w:t>Distingue WSL2 absent (wsl --install) de Docker simplement pas lancé.</w:t>
            </w:r>
          </w:p>
        </w:tc>
      </w:tr>
      <w:tr>
        <w:trPr>
          <w:cantSplit/>
        </w:trPr>
        <w:tc>
          <w:tcPr>
            <w:tcW w:type="dxa" w:w="3137"/>
            <w:shd w:fill="FAFAF8"/>
          </w:tcPr>
          <w:p>
            <w:r/>
            <w:r>
              <w:rPr>
                <w:sz w:val="19"/>
              </w:rPr>
              <w:t>4/7 Ollama</w:t>
            </w:r>
          </w:p>
        </w:tc>
        <w:tc>
          <w:tcPr>
            <w:tcW w:type="dxa" w:w="3137"/>
            <w:shd w:fill="FAFAF8"/>
          </w:tcPr>
          <w:p>
            <w:r/>
            <w:r>
              <w:rPr>
                <w:sz w:val="19"/>
              </w:rPr>
              <w:t>Installe, démarre le service, télécharge le modèle.</w:t>
            </w:r>
          </w:p>
        </w:tc>
        <w:tc>
          <w:tcPr>
            <w:tcW w:type="dxa" w:w="3137"/>
            <w:shd w:fill="FAFAF8"/>
          </w:tcPr>
          <w:p>
            <w:r/>
            <w:r>
              <w:rPr>
                <w:sz w:val="19"/>
              </w:rPr>
              <w:t>PATH de la fenêtre non rafraîchi après installation : exécutable visé à son emplacement connu ; options Inno Setup vérifiées sur l'exécutable.</w:t>
            </w:r>
          </w:p>
        </w:tc>
      </w:tr>
      <w:tr>
        <w:trPr>
          <w:cantSplit/>
        </w:trPr>
        <w:tc>
          <w:tcPr>
            <w:tcW w:type="dxa" w:w="3137"/>
          </w:tcPr>
          <w:p>
            <w:r/>
            <w:r>
              <w:rPr>
                <w:sz w:val="19"/>
              </w:rPr>
              <w:t>5/7 .env</w:t>
            </w:r>
          </w:p>
        </w:tc>
        <w:tc>
          <w:tcPr>
            <w:tcW w:type="dxa" w:w="3137"/>
          </w:tcPr>
          <w:p>
            <w:r/>
            <w:r>
              <w:rPr>
                <w:sz w:val="19"/>
              </w:rPr>
              <w:t>Demande le lien de la feuille et l'onglet (set /p).</w:t>
            </w:r>
          </w:p>
        </w:tc>
        <w:tc>
          <w:tcPr>
            <w:tcW w:type="dxa" w:w="3137"/>
          </w:tcPr>
          <w:p>
            <w:r/>
            <w:r>
              <w:rPr>
                <w:sz w:val="19"/>
              </w:rPr>
              <w:t>Écriture ligne par ligne par scripts/maj_env.ps1, sans BOM ; un lien complet (?, &amp;, #) passe intact jusqu'au conteneur.</w:t>
            </w:r>
          </w:p>
        </w:tc>
      </w:tr>
      <w:tr>
        <w:trPr>
          <w:cantSplit/>
        </w:trPr>
        <w:tc>
          <w:tcPr>
            <w:tcW w:type="dxa" w:w="3137"/>
            <w:shd w:fill="FAFAF8"/>
          </w:tcPr>
          <w:p>
            <w:r/>
            <w:r>
              <w:rPr>
                <w:sz w:val="19"/>
              </w:rPr>
              <w:t>6/7 Build</w:t>
            </w:r>
          </w:p>
        </w:tc>
        <w:tc>
          <w:tcPr>
            <w:tcW w:type="dxa" w:w="3137"/>
            <w:shd w:fill="FAFAF8"/>
          </w:tcPr>
          <w:p>
            <w:r/>
            <w:r>
              <w:rPr>
                <w:sz w:val="19"/>
              </w:rPr>
              <w:t>Vérifie les ports 8000/8321/8322, docker compose up -d --build.</w:t>
            </w:r>
          </w:p>
        </w:tc>
        <w:tc>
          <w:tcPr>
            <w:tcW w:type="dxa" w:w="3137"/>
            <w:shd w:fill="FAFAF8"/>
          </w:tcPr>
          <w:p>
            <w:r/>
            <w:r>
              <w:rPr>
                <w:sz w:val="19"/>
              </w:rPr>
              <w:t>Un port déjà pris est signalé avant le message de bas niveau de Docker.</w:t>
            </w:r>
          </w:p>
        </w:tc>
      </w:tr>
      <w:tr>
        <w:trPr>
          <w:cantSplit/>
        </w:trPr>
        <w:tc>
          <w:tcPr>
            <w:tcW w:type="dxa" w:w="3137"/>
          </w:tcPr>
          <w:p>
            <w:r/>
            <w:r>
              <w:rPr>
                <w:sz w:val="19"/>
              </w:rPr>
              <w:t>7/7 Finition</w:t>
            </w:r>
          </w:p>
        </w:tc>
        <w:tc>
          <w:tcPr>
            <w:tcW w:type="dxa" w:w="3137"/>
          </w:tcPr>
          <w:p>
            <w:r/>
            <w:r>
              <w:rPr>
                <w:sz w:val="19"/>
              </w:rPr>
              <w:t>Raccourcis, attente active de /health, navigateur, test fonctionnel dans le conteneur.</w:t>
            </w:r>
          </w:p>
        </w:tc>
        <w:tc>
          <w:tcPr>
            <w:tcW w:type="dxa" w:w="3137"/>
          </w:tcPr>
          <w:p>
            <w:r/>
            <w:r>
              <w:rPr>
                <w:sz w:val="19"/>
              </w:rPr>
              <w:t>TEST_DAC_URL=http://dac-light:8321 : 127.0.0.1 désignerait le conteneur backend lui-même.</w:t>
            </w:r>
          </w:p>
        </w:tc>
      </w:tr>
    </w:tbl>
    <w:p/>
    <w:p>
      <w:r>
        <w:rPr>
          <w:b w:val="0"/>
          <w:i w:val="0"/>
        </w:rPr>
        <w:t>Trois choix de docker-compose.yml portent l'essentiel de la fiabilité. Un montage unique du dépôt (.:/app) : os.replace, utilisé pour écrire les tableaux de bord de façon atomique, échoue en EXDEV entre deux montages distincts, même sur le même disque. Deux adresses par serveur DAC : le nom de service pour le backend, 127.0.0.1 pour le navigateur de l'hôte. Et OLLAMA_HOST forcé vers host.docker.internal, quel que soit le .env.</w:t>
      </w:r>
    </w:p>
    <w:p>
      <w:pPr>
        <w:keepNext/>
        <w:spacing w:before="280" w:after="120"/>
      </w:pPr>
      <w:r>
        <w:rPr>
          <w:b/>
          <w:color w:val="242422"/>
          <w:sz w:val="27"/>
        </w:rPr>
        <w:t>19.1 Vérification de livraison du 5 octobre 2026</w:t>
      </w:r>
    </w:p>
    <w:p>
      <w:r>
        <w:rPr>
          <w:b w:val="0"/>
          <w:i w:val="0"/>
        </w:rPr>
        <w:t>Clone neuf de la branche Version_2 depuis GitHub ; docker compose build --no-cache --pull (6 min 40, sans erreur, bruin 0.11.771 et dac 0.25.0 téléchargés le jour même) ; INSTALLER.bat réel : 7/7 étapes, 15/15 contrôles, « TOUT EST JUSTE » ; génération réelle du modèle depuis le conteneur via host.docker.internal ; 633 tests au vert. Cette exécution a eu lieu sur un poste où Docker Desktop et Ollama étaient déjà installés ; les branches « poste nu » ont été exercées séparément sur un Windows 11 neuf en machine virtuelle.</w:t>
      </w:r>
    </w:p>
    <w:p>
      <w:pPr>
        <w:keepNext/>
        <w:spacing w:before="280" w:after="120"/>
      </w:pPr>
      <w:r>
        <w:rPr>
          <w:b/>
          <w:color w:val="242422"/>
          <w:sz w:val="27"/>
        </w:rPr>
        <w:t>19.2 Risques résiduels</w:t>
      </w:r>
    </w:p>
    <w:p>
      <w:pPr>
        <w:pStyle w:val="ListBullet"/>
      </w:pPr>
      <w:r>
        <w:t>bruin et dac ne sont pas épinglés : l'image installe leur dernière version à chaque construction. Une version incompatible publiée entre la vérification et l'installation passerait inaperçue jusqu'au test fonctionnel final, qui la signalerait.</w:t>
      </w:r>
    </w:p>
    <w:p>
      <w:pPr>
        <w:pStyle w:val="ListBullet"/>
      </w:pPr>
      <w:r>
        <w:t>L'image de base python:3.14-slim-bookworm suit les correctifs de Python 3.14 : risque faible, les dépendances étant épinglées.</w:t>
      </w:r>
    </w:p>
    <w:p>
      <w:pPr>
        <w:pStyle w:val="ListBullet"/>
      </w:pPr>
      <w:r>
        <w:t>La branche par défaut du dépôt (main) est une version antérieure, qui demande encore une clé Gemini : le clone doit viser Version_2.</w:t>
      </w:r>
    </w:p>
    <w:p>
      <w:pPr>
        <w:pStyle w:val="ListBullet"/>
      </w:pPr>
      <w:r>
        <w:t>Licence Docker Desktop payante au-delà de 250 personnes ou 10 M$ de chiffre d'affaires.</w:t>
      </w:r>
    </w:p>
    <w:p>
      <w:pPr>
        <w:pStyle w:val="ListBullet"/>
      </w:pPr>
      <w:r>
        <w:t>Un poste d'entreprise peut refuser les droits administrateur, la virtualisation ou l'accès aux sites de téléchargement : l'installateur le signale, mais ne peut pas le contourner.</w:t>
      </w:r>
    </w:p>
    <w:p>
      <w:pPr>
        <w:keepNext/>
        <w:spacing w:before="400" w:after="200"/>
        <w:pBdr>
          <w:bottom w:val="single" w:sz="18" w:space="4" w:color="D42A45"/>
        </w:pBdr>
      </w:pPr>
      <w:r>
        <w:rPr>
          <w:b/>
          <w:color w:val="F2405A"/>
          <w:sz w:val="36"/>
        </w:rPr>
        <w:t>20. La source de données depuis l'interface (backend/data_source.py)</w:t>
      </w:r>
    </w:p>
    <w:p>
      <w:r>
        <w:rPr>
          <w:b w:val="0"/>
          <w:i w:val="0"/>
        </w:rPr>
        <w:t>Deux boutons remplacent ce qui se faisait jusqu'ici en ligne de commande. « Santé des données » (GET /data/source) rapporte la dernière lecture — date, durée, feuille, cause en clair d'un échec — et ce qu'elle a produit : lignes, colonnes reconnues, cellules réparées, période, aperçu. Statut et données en service sont distingués : une lecture qui échoue garde les données précédentes, et l'écran le dit.</w:t>
      </w:r>
    </w:p>
    <w:p>
      <w:r>
        <w:rPr>
          <w:b w:val="0"/>
          <w:i w:val="0"/>
        </w:rPr>
        <w:t>« Lier une feuille Google » enchaîne trois routes : /data/source/onglets lit la liste des onglets dans la page publique « htmlview » de la feuille (Google n'en expose aucune autre sans clé d'API) ; /data/source/test lit la feuille candidate par analyser_valeurs, la même validation que la feuille en service, sans toucher au cache ; POST /data/source re-teste côté serveur, inscrit la feuille dans .env et recharge les données.</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fill="F2405A"/>
          </w:tcPr>
          <w:p>
            <w:r/>
            <w:r>
              <w:rPr>
                <w:b/>
                <w:color w:val="FFFFFF"/>
                <w:sz w:val="19"/>
              </w:rPr>
              <w:t>Piège</w:t>
            </w:r>
          </w:p>
        </w:tc>
        <w:tc>
          <w:tcPr>
            <w:tcW w:type="dxa" w:w="4706"/>
            <w:shd w:fill="F2405A"/>
          </w:tcPr>
          <w:p>
            <w:r/>
            <w:r>
              <w:rPr>
                <w:b/>
                <w:color w:val="FFFFFF"/>
                <w:sz w:val="19"/>
              </w:rPr>
              <w:t>Parade</w:t>
            </w:r>
          </w:p>
        </w:tc>
      </w:tr>
      <w:tr>
        <w:trPr>
          <w:cantSplit/>
        </w:trPr>
        <w:tc>
          <w:tcPr>
            <w:tcW w:type="dxa" w:w="4706"/>
          </w:tcPr>
          <w:p>
            <w:r/>
            <w:r>
              <w:rPr>
                <w:sz w:val="19"/>
              </w:rPr>
              <w:t>Google renvoie le premier onglet, sans erreur, pour un nom inexistant</w:t>
            </w:r>
          </w:p>
        </w:tc>
        <w:tc>
          <w:tcPr>
            <w:tcW w:type="dxa" w:w="4706"/>
          </w:tcPr>
          <w:p>
            <w:r/>
            <w:r>
              <w:rPr>
                <w:sz w:val="19"/>
              </w:rPr>
              <w:t>Onglet choisi dans la liste réelle ; sans liste, comparaison avec la réponse à un onglet impossible.</w:t>
            </w:r>
          </w:p>
        </w:tc>
      </w:tr>
      <w:tr>
        <w:trPr>
          <w:cantSplit/>
        </w:trPr>
        <w:tc>
          <w:tcPr>
            <w:tcW w:type="dxa" w:w="4706"/>
            <w:shd w:fill="FAFAF8"/>
          </w:tcPr>
          <w:p>
            <w:r/>
            <w:r>
              <w:rPr>
                <w:sz w:val="19"/>
              </w:rPr>
              <w:t>Sous Docker, l'environnement du conteneur est figé à sa création</w:t>
            </w:r>
          </w:p>
        </w:tc>
        <w:tc>
          <w:tcPr>
            <w:tcW w:type="dxa" w:w="4706"/>
            <w:shd w:fill="FAFAF8"/>
          </w:tcPr>
          <w:p>
            <w:r/>
            <w:r>
              <w:rPr>
                <w:sz w:val="19"/>
              </w:rPr>
              <w:t>Au démarrage, la feuille inscrite dans .env prime sur l'environnement — pour ces deux clés seulement (OLLAMA_HOST, imposé par Docker, n'est pas touché).</w:t>
            </w:r>
          </w:p>
        </w:tc>
      </w:tr>
      <w:tr>
        <w:trPr>
          <w:cantSplit/>
        </w:trPr>
        <w:tc>
          <w:tcPr>
            <w:tcW w:type="dxa" w:w="4706"/>
          </w:tcPr>
          <w:p>
            <w:r/>
            <w:r>
              <w:rPr>
                <w:sz w:val="19"/>
              </w:rPr>
              <w:t>Un « # » dans un nom d'onglet ouvre un commentaire dans .env</w:t>
            </w:r>
          </w:p>
        </w:tc>
        <w:tc>
          <w:tcPr>
            <w:tcW w:type="dxa" w:w="4706"/>
          </w:tcPr>
          <w:p>
            <w:r/>
            <w:r>
              <w:rPr>
                <w:sz w:val="19"/>
              </w:rPr>
              <w:t>Valeur entre guillemets quand c'est nécessaire, relue à l'identique.</w:t>
            </w:r>
          </w:p>
        </w:tc>
      </w:tr>
      <w:tr>
        <w:trPr>
          <w:cantSplit/>
        </w:trPr>
        <w:tc>
          <w:tcPr>
            <w:tcW w:type="dxa" w:w="4706"/>
            <w:shd w:fill="FAFAF8"/>
          </w:tcPr>
          <w:p>
            <w:r/>
            <w:r>
              <w:rPr>
                <w:sz w:val="19"/>
              </w:rPr>
              <w:t>Une page d'un autre site pourrait changer la feuille</w:t>
            </w:r>
          </w:p>
        </w:tc>
        <w:tc>
          <w:tcPr>
            <w:tcW w:type="dxa" w:w="4706"/>
            <w:shd w:fill="FAFAF8"/>
          </w:tcPr>
          <w:p>
            <w:r/>
            <w:r>
              <w:rPr>
                <w:sz w:val="19"/>
              </w:rPr>
              <w:t>En-tête Origin contrôlé : seule l'interface de l'application est acceptée.</w:t>
            </w:r>
          </w:p>
        </w:tc>
      </w:tr>
      <w:tr>
        <w:trPr>
          <w:cantSplit/>
        </w:trPr>
        <w:tc>
          <w:tcPr>
            <w:tcW w:type="dxa" w:w="4706"/>
          </w:tcPr>
          <w:p>
            <w:r/>
            <w:r>
              <w:rPr>
                <w:sz w:val="19"/>
              </w:rPr>
              <w:t>.env écrit en CRLF par INSTALLER.bat</w:t>
            </w:r>
          </w:p>
        </w:tc>
        <w:tc>
          <w:tcPr>
            <w:tcW w:type="dxa" w:w="4706"/>
          </w:tcPr>
          <w:p>
            <w:r/>
            <w:r>
              <w:rPr>
                <w:sz w:val="19"/>
              </w:rPr>
              <w:t>Lu sans conversion des fins de ligne, réécrit atomiquement, sans BOM.</w:t>
            </w:r>
          </w:p>
        </w:tc>
      </w:tr>
    </w:tbl>
    <w:p/>
    <w:p>
      <w:pPr>
        <w:spacing w:before="40"/>
      </w:pPr>
      <w:r>
        <w:rPr>
          <w:i/>
          <w:color w:val="52514E"/>
          <w:sz w:val="19"/>
        </w:rPr>
        <w:t>tests/test_source_donnees.py (36 tests) et tests/test_arret.py (11 tests).</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424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