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Base de données</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SQL sécurisée (backend/db_layer.py, schema_and_whitelist.py)</w:t>
      </w:r>
    </w:p>
    <w:p>
      <w:pPr>
        <w:pStyle w:val="ListBullet"/>
      </w:pPr>
      <w:r>
        <w:rPr>
          <w:color w:val="242422"/>
        </w:rPr>
        <w:t>Génération des graphiques (backend/vega_generator.py)</w:t>
      </w:r>
    </w:p>
    <w:p>
      <w:pPr>
        <w:pStyle w:val="ListBullet"/>
      </w:pPr>
      <w:r>
        <w:rPr>
          <w:color w:val="242422"/>
        </w:rPr>
        <w:t>Réponses textuelles déterministes (backend/response_builder.py)</w:t>
      </w:r>
    </w:p>
    <w:p>
      <w:pPr>
        <w:pStyle w:val="ListBullet"/>
      </w:pPr>
      <w:r>
        <w:rPr>
          <w:color w:val="242422"/>
        </w:rPr>
        <w:t>Alertes deadlines (backend/alerts.py, maintenance.py, scheduler)</w:t>
      </w:r>
    </w:p>
    <w:p>
      <w:pPr>
        <w:pStyle w:val="ListBullet"/>
      </w:pPr>
      <w:r>
        <w:rPr>
          <w:color w:val="242422"/>
        </w:rPr>
        <w:t>Synchronisation Google Sheets (backend/sheets_sync.py)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ni du SQL — il produit uniquement un JSON intermédiaire strictement validé, que du code déterministe transforme ensuite en requête puis en visualisation.</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aggregation, ...}</w:t>
        <w:br/>
        <w:t>backend/db_layer.py :: build_and_execute_query(intent)</w:t>
        <w:br/>
        <w:t xml:space="preserve">   │  requête SQL paramétrée sur une liste blanche de tables/colonnes</w:t>
        <w:br/>
        <w:t xml:space="preserve">   ▼  data = [ {...}, {...} ]</w:t>
        <w:br/>
        <w:t>backend/vega_generator.py + response_builder.py</w:t>
        <w:br/>
        <w:t xml:space="preserve">   │  spec Vega-Lite (ou carte KPI / table) + message texte calculé</w:t>
        <w:br/>
        <w:t xml:space="preserve">   ▼</w:t>
        <w:br/>
        <w:t>Frontend React :: DashboardPanel + vega-embed</w:t>
        <w:br/>
        <w:t xml:space="preserve">   affichage du graphique / KPI / tableau</w:t>
      </w:r>
    </w:p>
    <w:p>
      <w:r>
        <w:rPr>
          <w:b w:val="0"/>
          <w:i w:val="0"/>
        </w:rPr>
        <w:t>En parallèle, un scheduler (APScheduler) exécute deux tâches quotidiennes indépendantes du chat : le recalcul de « jours restants » à minuit, et la vérification des échéances proches à 8h (voir section 10).</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Pourquoi MySQL plutôt que SQLite (prévu dans le brief initial)</w:t>
      </w:r>
    </w:p>
    <w:p>
      <w:r>
        <w:rPr>
          <w:b w:val="0"/>
          <w:i w:val="0"/>
        </w:rPr>
        <w:t>Le document de cadrage initial du projet envisageait SQLite pour sa simplicité. Le choix final s'est porté sur MySQL/MariaDB via XAMPP : accès concurrent plus robuste pour un backend FastAPI multi-requêtes, support natif des vues SQL pré-agrégées par dimension (utilisées pour accélérer les requêtes fréquentes comme « budget par pays »), et un pool de connexions (DBUtils PooledDB) adapté à ce moteur. Le schéma reste simple (une table principale `opportunities` + des vues), donc le coût de complexité supplémentaire par rapport à SQLite reste faible.</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Pourquoi APScheduler plutôt qu'une tâche planifiée externe (cron/Task Scheduler)</w:t>
      </w:r>
    </w:p>
    <w:p>
      <w:r>
        <w:rPr>
          <w:b w:val="0"/>
          <w:i w:val="0"/>
        </w:rPr>
        <w:t>L'application est un processus unique en local (`uvicorn`). APScheduler tourne dans ce même processus (`BackgroundScheduler`), démarré/arrêté via le cycle de vie FastAPI (`lifespan`) — aucune dépendance à un ordonnanceur système externe, ce qui simplifie le déploiement local. Limite assumée : si le processus est arrêté au moment précis d'une exécution planifiée, elle est manquée (pas de rattrapage automatique en cours de journée).</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backend/llm.py</w:t>
            </w:r>
          </w:p>
        </w:tc>
        <w:tc>
          <w:tcPr>
            <w:tcW w:type="dxa" w:w="4706"/>
            <w:shd w:fill="FAFAF8"/>
          </w:tcPr>
          <w:p>
            <w:r/>
            <w:r>
              <w:rPr>
                <w:sz w:val="19"/>
              </w:rPr>
              <w:t>Appel LLM, validation Pydantic, résolution des filtres, anti-hallucination.</w:t>
            </w:r>
          </w:p>
        </w:tc>
      </w:tr>
      <w:tr>
        <w:tc>
          <w:tcPr>
            <w:tcW w:type="dxa" w:w="4706"/>
          </w:tcPr>
          <w:p>
            <w:r/>
            <w:r>
              <w:rPr>
                <w:sz w:val="19"/>
              </w:rPr>
              <w:t>backend/intent_refiner.py</w:t>
            </w:r>
          </w:p>
        </w:tc>
        <w:tc>
          <w:tcPr>
            <w:tcW w:type="dxa" w:w="4706"/>
          </w:tcPr>
          <w:p>
            <w:r/>
            <w:r>
              <w:rPr>
                <w:sz w:val="19"/>
              </w:rPr>
              <w:t>Parseur rapide par mots-clés, dates relatives, affinage de l'intention.</w:t>
            </w:r>
          </w:p>
        </w:tc>
      </w:tr>
      <w:tr>
        <w:tc>
          <w:tcPr>
            <w:tcW w:type="dxa" w:w="4706"/>
            <w:shd w:fill="FAFAF8"/>
          </w:tcPr>
          <w:p>
            <w:r/>
            <w:r>
              <w:rPr>
                <w:sz w:val="19"/>
              </w:rPr>
              <w:t>backend/db_layer.py</w:t>
            </w:r>
          </w:p>
        </w:tc>
        <w:tc>
          <w:tcPr>
            <w:tcW w:type="dxa" w:w="4706"/>
            <w:shd w:fill="FAFAF8"/>
          </w:tcPr>
          <w:p>
            <w:r/>
            <w:r>
              <w:rPr>
                <w:sz w:val="19"/>
              </w:rPr>
              <w:t>Construction et exécution des requêtes SQL paramétrées.</w:t>
            </w:r>
          </w:p>
        </w:tc>
      </w:tr>
      <w:tr>
        <w:tc>
          <w:tcPr>
            <w:tcW w:type="dxa" w:w="4706"/>
          </w:tcPr>
          <w:p>
            <w:r/>
            <w:r>
              <w:rPr>
                <w:sz w:val="19"/>
              </w:rPr>
              <w:t>backend/schema_and_whitelist.py</w:t>
            </w:r>
          </w:p>
        </w:tc>
        <w:tc>
          <w:tcPr>
            <w:tcW w:type="dxa" w:w="4706"/>
          </w:tcPr>
          <w:p>
            <w:r/>
            <w:r>
              <w:rPr>
                <w:sz w:val="19"/>
              </w:rPr>
              <w:t>Source unique de vérité : tables/colonnes autorisées, valeurs connues.</w:t>
            </w:r>
          </w:p>
        </w:tc>
      </w:tr>
      <w:tr>
        <w:tc>
          <w:tcPr>
            <w:tcW w:type="dxa" w:w="4706"/>
            <w:shd w:fill="FAFAF8"/>
          </w:tcPr>
          <w:p>
            <w:r/>
            <w:r>
              <w:rPr>
                <w:sz w:val="19"/>
              </w:rPr>
              <w:t>backend/vega_generator.py</w:t>
            </w:r>
          </w:p>
        </w:tc>
        <w:tc>
          <w:tcPr>
            <w:tcW w:type="dxa" w:w="4706"/>
            <w:shd w:fill="FAFAF8"/>
          </w:tcPr>
          <w:p>
            <w:r/>
            <w:r>
              <w:rPr>
                <w:sz w:val="19"/>
              </w:rPr>
              <w:t>Génération des spécifications Vega-Lite.</w:t>
            </w:r>
          </w:p>
        </w:tc>
      </w:tr>
      <w:tr>
        <w:tc>
          <w:tcPr>
            <w:tcW w:type="dxa" w:w="4706"/>
          </w:tcPr>
          <w:p>
            <w:r/>
            <w:r>
              <w:rPr>
                <w:sz w:val="19"/>
              </w:rPr>
              <w:t>backend/response_builder.py</w:t>
            </w:r>
          </w:p>
        </w:tc>
        <w:tc>
          <w:tcPr>
            <w:tcW w:type="dxa" w:w="4706"/>
          </w:tcPr>
          <w:p>
            <w:r/>
            <w:r>
              <w:rPr>
                <w:sz w:val="19"/>
              </w:rPr>
              <w:t>Messages texte déterministes (jamais générés par le LLM).</w:t>
            </w:r>
          </w:p>
        </w:tc>
      </w:tr>
      <w:tr>
        <w:tc>
          <w:tcPr>
            <w:tcW w:type="dxa" w:w="4706"/>
            <w:shd w:fill="FAFAF8"/>
          </w:tcPr>
          <w:p>
            <w:r/>
            <w:r>
              <w:rPr>
                <w:sz w:val="19"/>
              </w:rPr>
              <w:t>backend/alerts.py</w:t>
            </w:r>
          </w:p>
        </w:tc>
        <w:tc>
          <w:tcPr>
            <w:tcW w:type="dxa" w:w="4706"/>
            <w:shd w:fill="FAFAF8"/>
          </w:tcPr>
          <w:p>
            <w:r/>
            <w:r>
              <w:rPr>
                <w:sz w:val="19"/>
              </w:rPr>
              <w:t>Requête des opportunités à échéance proche, envoi de l'email d'alerte.</w:t>
            </w:r>
          </w:p>
        </w:tc>
      </w:tr>
      <w:tr>
        <w:tc>
          <w:tcPr>
            <w:tcW w:type="dxa" w:w="4706"/>
          </w:tcPr>
          <w:p>
            <w:r/>
            <w:r>
              <w:rPr>
                <w:sz w:val="19"/>
              </w:rPr>
              <w:t>backend/maintenance.py</w:t>
            </w:r>
          </w:p>
        </w:tc>
        <w:tc>
          <w:tcPr>
            <w:tcW w:type="dxa" w:w="4706"/>
          </w:tcPr>
          <w:p>
            <w:r/>
            <w:r>
              <w:rPr>
                <w:sz w:val="19"/>
              </w:rPr>
              <w:t>Recalcul quotidien de days_remaining.</w:t>
            </w:r>
          </w:p>
        </w:tc>
      </w:tr>
      <w:tr>
        <w:tc>
          <w:tcPr>
            <w:tcW w:type="dxa" w:w="4706"/>
            <w:shd w:fill="FAFAF8"/>
          </w:tcPr>
          <w:p>
            <w:r/>
            <w:r>
              <w:rPr>
                <w:sz w:val="19"/>
              </w:rPr>
              <w:t>backend/sheets_sync.py</w:t>
            </w:r>
          </w:p>
        </w:tc>
        <w:tc>
          <w:tcPr>
            <w:tcW w:type="dxa" w:w="4706"/>
            <w:shd w:fill="FAFAF8"/>
          </w:tcPr>
          <w:p>
            <w:r/>
            <w:r>
              <w:rPr>
                <w:sz w:val="19"/>
              </w:rPr>
              <w:t>Synchronisation Google Sheets -&gt; MySQL (table opportunities uniquement).</w:t>
            </w:r>
          </w:p>
        </w:tc>
      </w:tr>
      <w:tr>
        <w:tc>
          <w:tcPr>
            <w:tcW w:type="dxa" w:w="4706"/>
          </w:tcPr>
          <w:p>
            <w:r/>
            <w:r>
              <w:rPr>
                <w:sz w:val="19"/>
              </w:rPr>
              <w:t>backend/db.py</w:t>
            </w:r>
          </w:p>
        </w:tc>
        <w:tc>
          <w:tcPr>
            <w:tcW w:type="dxa" w:w="4706"/>
          </w:tcPr>
          <w:p>
            <w:r/>
            <w:r>
              <w:rPr>
                <w:sz w:val="19"/>
              </w:rPr>
              <w:t>Pool de connexions MySQL (DBUtils PooledDB), paresseux.</w:t>
            </w:r>
          </w:p>
        </w:tc>
      </w:tr>
      <w:tr>
        <w:tc>
          <w:tcPr>
            <w:tcW w:type="dxa" w:w="4706"/>
            <w:shd w:fill="FAFAF8"/>
          </w:tcPr>
          <w:p>
            <w:r/>
            <w:r>
              <w:rPr>
                <w:sz w:val="19"/>
              </w:rPr>
              <w:t>frontend/src/</w:t>
            </w:r>
          </w:p>
        </w:tc>
        <w:tc>
          <w:tcPr>
            <w:tcW w:type="dxa" w:w="4706"/>
            <w:shd w:fill="FAFAF8"/>
          </w:tcPr>
          <w:p>
            <w:r/>
            <w:r>
              <w:rPr>
                <w:sz w:val="19"/>
              </w:rPr>
              <w:t>Application Vite + React (composants, hooks, styles).</w:t>
            </w:r>
          </w:p>
        </w:tc>
      </w:tr>
      <w:tr>
        <w:tc>
          <w:tcPr>
            <w:tcW w:type="dxa" w:w="4706"/>
          </w:tcPr>
          <w:p>
            <w:r/>
            <w:r>
              <w:rPr>
                <w:sz w:val="19"/>
              </w:rPr>
              <w:t>tests/</w:t>
            </w:r>
          </w:p>
        </w:tc>
        <w:tc>
          <w:tcPr>
            <w:tcW w:type="dxa" w:w="4706"/>
          </w:tcPr>
          <w:p>
            <w:r/>
            <w:r>
              <w:rPr>
                <w:sz w:val="19"/>
              </w:rPr>
              <w:t>Suite pytest — 143 tests, aucune dépendance réseau/DB réelle.</w:t>
            </w:r>
          </w:p>
        </w:tc>
      </w:tr>
      <w:tr>
        <w:tc>
          <w:tcPr>
            <w:tcW w:type="dxa" w:w="4706"/>
            <w:shd w:fill="FAFAF8"/>
          </w:tcPr>
          <w:p>
            <w:r/>
            <w:r>
              <w:rPr>
                <w:sz w:val="19"/>
              </w:rPr>
              <w:t>data/devoteam_dashboard_mysql.sql</w:t>
            </w:r>
          </w:p>
        </w:tc>
        <w:tc>
          <w:tcPr>
            <w:tcW w:type="dxa" w:w="4706"/>
            <w:shd w:fill="FAFAF8"/>
          </w:tcPr>
          <w:p>
            <w:r/>
            <w:r>
              <w:rPr>
                <w:sz w:val="19"/>
              </w:rPr>
              <w:t>Dump SQL de référence (schéma + données).</w:t>
            </w:r>
          </w:p>
        </w:tc>
      </w:tr>
      <w:tr>
        <w:tc>
          <w:tcPr>
            <w:tcW w:type="dxa" w:w="4706"/>
          </w:tcPr>
          <w:p>
            <w:r/>
            <w:r>
              <w:rPr>
                <w:sz w:val="19"/>
              </w:rPr>
              <w:t>Documentation/reports/</w:t>
            </w:r>
          </w:p>
        </w:tc>
        <w:tc>
          <w:tcPr>
            <w:tcW w:type="dxa" w:w="4706"/>
          </w:tcPr>
          <w:p>
            <w:r/>
            <w:r>
              <w:rPr>
                <w:sz w:val="19"/>
              </w:rPr>
              <w:t>Ce rapport, le guide technique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Base de données</w:t>
      </w:r>
    </w:p>
    <w:p>
      <w:r>
        <w:rPr>
          <w:b w:val="0"/>
          <w:i w:val="0"/>
        </w:rPr>
        <w:t>Moteur MySQL/MariaDB (XAMPP en local, utilisateur root sans mot de passe par défaut). Le schéma tient volontairement en peu de tables : une table de faits, six vues de lecture pré-agrégées, et deux tables techniques pour le cache et l'historique.</w:t>
      </w:r>
    </w:p>
    <w:p>
      <w:pPr>
        <w:keepNext/>
        <w:spacing w:before="280" w:after="120"/>
      </w:pPr>
      <w:r>
        <w:rPr>
          <w:b/>
          <w:color w:val="242422"/>
          <w:sz w:val="27"/>
        </w:rPr>
        <w:t>4.1 Table de faits — opportunities</w:t>
      </w:r>
    </w:p>
    <w:p>
      <w:r>
        <w:rPr>
          <w:b w:val="0"/>
          <w:i w:val="0"/>
        </w:rPr>
        <w:t>360 lignes au moment de la rédaction. Chaque ligne représente une opportunité commerciale ; c'est la seule table sur laquelle des écritures ont lieu (mise à jour quotidienne de days_remaining).</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INT, clé primaire</w:t>
            </w:r>
          </w:p>
        </w:tc>
        <w:tc>
          <w:tcPr>
            <w:tcW w:type="dxa" w:w="3137"/>
          </w:tcPr>
          <w:p>
            <w:r/>
            <w:r>
              <w:rPr>
                <w:sz w:val="19"/>
              </w:rPr>
              <w:t>Identifiant unique.</w:t>
            </w:r>
          </w:p>
        </w:tc>
      </w:tr>
      <w:tr>
        <w:tc>
          <w:tcPr>
            <w:tcW w:type="dxa" w:w="3137"/>
            <w:shd w:fill="FAFAF8"/>
          </w:tcPr>
          <w:p>
            <w:r/>
            <w:r>
              <w:rPr>
                <w:sz w:val="19"/>
              </w:rPr>
              <w:t>country</w:t>
            </w:r>
          </w:p>
        </w:tc>
        <w:tc>
          <w:tcPr>
            <w:tcW w:type="dxa" w:w="3137"/>
            <w:shd w:fill="FAFAF8"/>
          </w:tcPr>
          <w:p>
            <w:r/>
            <w:r>
              <w:rPr>
                <w:sz w:val="19"/>
              </w:rPr>
              <w:t>VARCHAR(100)</w:t>
            </w:r>
          </w:p>
        </w:tc>
        <w:tc>
          <w:tcPr>
            <w:tcW w:type="dxa" w:w="3137"/>
            <w:shd w:fill="FAFAF8"/>
          </w:tcPr>
          <w:p>
            <w:r/>
            <w:r>
              <w:rPr>
                <w:sz w:val="19"/>
              </w:rPr>
              <w:t>Pays de l'opportunité (indexé).</w:t>
            </w:r>
          </w:p>
        </w:tc>
      </w:tr>
      <w:tr>
        <w:tc>
          <w:tcPr>
            <w:tcW w:type="dxa" w:w="3137"/>
          </w:tcPr>
          <w:p>
            <w:r/>
            <w:r>
              <w:rPr>
                <w:sz w:val="19"/>
              </w:rPr>
              <w:t>created_date</w:t>
            </w:r>
          </w:p>
        </w:tc>
        <w:tc>
          <w:tcPr>
            <w:tcW w:type="dxa" w:w="3137"/>
          </w:tcPr>
          <w:p>
            <w:r/>
            <w:r>
              <w:rPr>
                <w:sz w:val="19"/>
              </w:rPr>
              <w:t>DATE</w:t>
            </w:r>
          </w:p>
        </w:tc>
        <w:tc>
          <w:tcPr>
            <w:tcW w:type="dxa" w:w="3137"/>
          </w:tcPr>
          <w:p>
            <w:r/>
            <w:r>
              <w:rPr>
                <w:sz w:val="19"/>
              </w:rPr>
              <w:t>Date de création de l'opportunité.</w:t>
            </w:r>
          </w:p>
        </w:tc>
      </w:tr>
      <w:tr>
        <w:tc>
          <w:tcPr>
            <w:tcW w:type="dxa" w:w="3137"/>
            <w:shd w:fill="FAFAF8"/>
          </w:tcPr>
          <w:p>
            <w:r/>
            <w:r>
              <w:rPr>
                <w:sz w:val="19"/>
              </w:rPr>
              <w:t>deadline</w:t>
            </w:r>
          </w:p>
        </w:tc>
        <w:tc>
          <w:tcPr>
            <w:tcW w:type="dxa" w:w="3137"/>
            <w:shd w:fill="FAFAF8"/>
          </w:tcPr>
          <w:p>
            <w:r/>
            <w:r>
              <w:rPr>
                <w:sz w:val="19"/>
              </w:rPr>
              <w:t>DATE</w:t>
            </w:r>
          </w:p>
        </w:tc>
        <w:tc>
          <w:tcPr>
            <w:tcW w:type="dxa" w:w="3137"/>
            <w:shd w:fill="FAFAF8"/>
          </w:tcPr>
          <w:p>
            <w:r/>
            <w:r>
              <w:rPr>
                <w:sz w:val="19"/>
              </w:rPr>
              <w:t>Date limite de remise — source de vérité pour toute notion d'urgence (jamais une valeur mise en cache).</w:t>
            </w:r>
          </w:p>
        </w:tc>
      </w:tr>
      <w:tr>
        <w:tc>
          <w:tcPr>
            <w:tcW w:type="dxa" w:w="3137"/>
          </w:tcPr>
          <w:p>
            <w:r/>
            <w:r>
              <w:rPr>
                <w:sz w:val="19"/>
              </w:rPr>
              <w:t>deadline_month / deadline_year</w:t>
            </w:r>
          </w:p>
        </w:tc>
        <w:tc>
          <w:tcPr>
            <w:tcW w:type="dxa" w:w="3137"/>
          </w:tcPr>
          <w:p>
            <w:r/>
            <w:r>
              <w:rPr>
                <w:sz w:val="19"/>
              </w:rPr>
              <w:t>VARCHAR(7) / INT</w:t>
            </w:r>
          </w:p>
        </w:tc>
        <w:tc>
          <w:tcPr>
            <w:tcW w:type="dxa" w:w="3137"/>
          </w:tcPr>
          <w:p>
            <w:r/>
            <w:r>
              <w:rPr>
                <w:sz w:val="19"/>
              </w:rPr>
              <w:t>Dérivées de deadline, utilisées comme dimensions d'analyse (indexées).</w:t>
            </w:r>
          </w:p>
        </w:tc>
      </w:tr>
      <w:tr>
        <w:tc>
          <w:tcPr>
            <w:tcW w:type="dxa" w:w="3137"/>
            <w:shd w:fill="FAFAF8"/>
          </w:tcPr>
          <w:p>
            <w:r/>
            <w:r>
              <w:rPr>
                <w:sz w:val="19"/>
              </w:rPr>
              <w:t>days_remaining</w:t>
            </w:r>
          </w:p>
        </w:tc>
        <w:tc>
          <w:tcPr>
            <w:tcW w:type="dxa" w:w="3137"/>
            <w:shd w:fill="FAFAF8"/>
          </w:tcPr>
          <w:p>
            <w:r/>
            <w:r>
              <w:rPr>
                <w:sz w:val="19"/>
              </w:rPr>
              <w:t>INT, nullable</w:t>
            </w:r>
          </w:p>
        </w:tc>
        <w:tc>
          <w:tcPr>
            <w:tcW w:type="dxa" w:w="3137"/>
            <w:shd w:fill="FAFAF8"/>
          </w:tcPr>
          <w:p>
            <w:r/>
            <w:r>
              <w:rPr>
                <w:sz w:val="19"/>
              </w:rPr>
              <w:t>Jours restants — recalculée chaque nuit depuis deadline (voir section 10.1), jamais la source de vérité elle-même.</w:t>
            </w:r>
          </w:p>
        </w:tc>
      </w:tr>
      <w:tr>
        <w:tc>
          <w:tcPr>
            <w:tcW w:type="dxa" w:w="3137"/>
          </w:tcPr>
          <w:p>
            <w:r/>
            <w:r>
              <w:rPr>
                <w:sz w:val="19"/>
              </w:rPr>
              <w:t>practice</w:t>
            </w:r>
          </w:p>
        </w:tc>
        <w:tc>
          <w:tcPr>
            <w:tcW w:type="dxa" w:w="3137"/>
          </w:tcPr>
          <w:p>
            <w:r/>
            <w:r>
              <w:rPr>
                <w:sz w:val="19"/>
              </w:rPr>
              <w:t>VARCHAR(100)</w:t>
            </w:r>
          </w:p>
        </w:tc>
        <w:tc>
          <w:tcPr>
            <w:tcW w:type="dxa" w:w="3137"/>
          </w:tcPr>
          <w:p>
            <w:r/>
            <w:r>
              <w:rPr>
                <w:sz w:val="19"/>
              </w:rPr>
              <w:t>Digital Transformation / Risk Advisory / Data Management (indexé).</w:t>
            </w:r>
          </w:p>
        </w:tc>
      </w:tr>
      <w:tr>
        <w:tc>
          <w:tcPr>
            <w:tcW w:type="dxa" w:w="3137"/>
            <w:shd w:fill="FAFAF8"/>
          </w:tcPr>
          <w:p>
            <w:r/>
            <w:r>
              <w:rPr>
                <w:sz w:val="19"/>
              </w:rPr>
              <w:t>description, buyer, partner</w:t>
            </w:r>
          </w:p>
        </w:tc>
        <w:tc>
          <w:tcPr>
            <w:tcW w:type="dxa" w:w="3137"/>
            <w:shd w:fill="FAFAF8"/>
          </w:tcPr>
          <w:p>
            <w:r/>
            <w:r>
              <w:rPr>
                <w:sz w:val="19"/>
              </w:rPr>
              <w:t>TEXT / VARCHAR</w:t>
            </w:r>
          </w:p>
        </w:tc>
        <w:tc>
          <w:tcPr>
            <w:tcW w:type="dxa" w:w="3137"/>
            <w:shd w:fill="FAFAF8"/>
          </w:tcPr>
          <w:p>
            <w:r/>
            <w:r>
              <w:rPr>
                <w:sz w:val="19"/>
              </w:rPr>
              <w:t>Informations descriptives libres.</w:t>
            </w:r>
          </w:p>
        </w:tc>
      </w:tr>
      <w:tr>
        <w:tc>
          <w:tcPr>
            <w:tcW w:type="dxa" w:w="3137"/>
          </w:tcPr>
          <w:p>
            <w:r/>
            <w:r>
              <w:rPr>
                <w:sz w:val="19"/>
              </w:rPr>
              <w:t>opp_type</w:t>
            </w:r>
          </w:p>
        </w:tc>
        <w:tc>
          <w:tcPr>
            <w:tcW w:type="dxa" w:w="3137"/>
          </w:tcPr>
          <w:p>
            <w:r/>
            <w:r>
              <w:rPr>
                <w:sz w:val="19"/>
              </w:rPr>
              <w:t>VARCHAR(50)</w:t>
            </w:r>
          </w:p>
        </w:tc>
        <w:tc>
          <w:tcPr>
            <w:tcW w:type="dxa" w:w="3137"/>
          </w:tcPr>
          <w:p>
            <w:r/>
            <w:r>
              <w:rPr>
                <w:sz w:val="19"/>
              </w:rPr>
              <w:t>AO, DP, AMI, Consultation, Prospection…</w:t>
            </w:r>
          </w:p>
        </w:tc>
      </w:tr>
      <w:tr>
        <w:tc>
          <w:tcPr>
            <w:tcW w:type="dxa" w:w="3137"/>
            <w:shd w:fill="FAFAF8"/>
          </w:tcPr>
          <w:p>
            <w:r/>
            <w:r>
              <w:rPr>
                <w:sz w:val="19"/>
              </w:rPr>
              <w:t>status</w:t>
            </w:r>
          </w:p>
        </w:tc>
        <w:tc>
          <w:tcPr>
            <w:tcW w:type="dxa" w:w="3137"/>
            <w:shd w:fill="FAFAF8"/>
          </w:tcPr>
          <w:p>
            <w:r/>
            <w:r>
              <w:rPr>
                <w:sz w:val="19"/>
              </w:rPr>
              <w:t>VARCHAR(100)</w:t>
            </w:r>
          </w:p>
        </w:tc>
        <w:tc>
          <w:tcPr>
            <w:tcW w:type="dxa" w:w="3137"/>
            <w:shd w:fill="FAFAF8"/>
          </w:tcPr>
          <w:p>
            <w:r/>
            <w:r>
              <w:rPr>
                <w:sz w:val="19"/>
              </w:rPr>
              <w:t>Statut du cycle de vente (indexé) — 16 valeurs possibles, dont les 7 statuts « clos » exclus des alertes.</w:t>
            </w:r>
          </w:p>
        </w:tc>
      </w:tr>
      <w:tr>
        <w:tc>
          <w:tcPr>
            <w:tcW w:type="dxa" w:w="3137"/>
          </w:tcPr>
          <w:p>
            <w:r/>
            <w:r>
              <w:rPr>
                <w:sz w:val="19"/>
              </w:rPr>
              <w:t>budget, financial_offer, weighted_amount</w:t>
            </w:r>
          </w:p>
        </w:tc>
        <w:tc>
          <w:tcPr>
            <w:tcW w:type="dxa" w:w="3137"/>
          </w:tcPr>
          <w:p>
            <w:r/>
            <w:r>
              <w:rPr>
                <w:sz w:val="19"/>
              </w:rPr>
              <w:t>DOUBLE, nullable</w:t>
            </w:r>
          </w:p>
        </w:tc>
        <w:tc>
          <w:tcPr>
            <w:tcW w:type="dxa" w:w="3137"/>
          </w:tcPr>
          <w:p>
            <w:r/>
            <w:r>
              <w:rPr>
                <w:sz w:val="19"/>
              </w:rPr>
              <w:t>Montants en euros ; weighted_amount ~47% NULL (offres sans probabilité assignée).</w:t>
            </w:r>
          </w:p>
        </w:tc>
      </w:tr>
      <w:tr>
        <w:tc>
          <w:tcPr>
            <w:tcW w:type="dxa" w:w="3137"/>
            <w:shd w:fill="FAFAF8"/>
          </w:tcPr>
          <w:p>
            <w:r/>
            <w:r>
              <w:rPr>
                <w:sz w:val="19"/>
              </w:rPr>
              <w:t>funding_source</w:t>
            </w:r>
          </w:p>
        </w:tc>
        <w:tc>
          <w:tcPr>
            <w:tcW w:type="dxa" w:w="3137"/>
            <w:shd w:fill="FAFAF8"/>
          </w:tcPr>
          <w:p>
            <w:r/>
            <w:r>
              <w:rPr>
                <w:sz w:val="19"/>
              </w:rPr>
              <w:t>VARCHAR(100), nullable</w:t>
            </w:r>
          </w:p>
        </w:tc>
        <w:tc>
          <w:tcPr>
            <w:tcW w:type="dxa" w:w="3137"/>
            <w:shd w:fill="FAFAF8"/>
          </w:tcPr>
          <w:p>
            <w:r/>
            <w:r>
              <w:rPr>
                <w:sz w:val="19"/>
              </w:rPr>
              <w:t>Source de financement (indexée).</w:t>
            </w:r>
          </w:p>
        </w:tc>
      </w:tr>
      <w:tr>
        <w:tc>
          <w:tcPr>
            <w:tcW w:type="dxa" w:w="3137"/>
          </w:tcPr>
          <w:p>
            <w:r/>
            <w:r>
              <w:rPr>
                <w:sz w:val="19"/>
              </w:rPr>
              <w:t>win_probability</w:t>
            </w:r>
          </w:p>
        </w:tc>
        <w:tc>
          <w:tcPr>
            <w:tcW w:type="dxa" w:w="3137"/>
          </w:tcPr>
          <w:p>
            <w:r/>
            <w:r>
              <w:rPr>
                <w:sz w:val="19"/>
              </w:rPr>
              <w:t>DOUBLE, nullable</w:t>
            </w:r>
          </w:p>
        </w:tc>
        <w:tc>
          <w:tcPr>
            <w:tcW w:type="dxa" w:w="3137"/>
          </w:tcPr>
          <w:p>
            <w:r/>
            <w:r>
              <w:rPr>
                <w:sz w:val="19"/>
              </w:rPr>
              <w:t>Fraction 0–1 (0.74 = 74%), jamais stockée déjà multipliée par 100 — voir response_builder.py.</w:t>
            </w:r>
          </w:p>
        </w:tc>
      </w:tr>
    </w:tbl>
    <w:p/>
    <w:p>
      <w:pPr>
        <w:keepNext/>
        <w:spacing w:before="280" w:after="120"/>
      </w:pPr>
      <w:r>
        <w:rPr>
          <w:b/>
          <w:color w:val="242422"/>
          <w:sz w:val="27"/>
        </w:rPr>
        <w:t>4.2 Vues pré-agrégées (lecture seule)</w:t>
      </w:r>
    </w:p>
    <w:p>
      <w:r>
        <w:rPr>
          <w:b w:val="0"/>
          <w:i w:val="0"/>
        </w:rPr>
        <w:t>Chacune est un simple GROUP BY sur opportunities (recalculée à la demande par MySQL, pas matérialisée) — elles existent pour donner au LLM des noms de colonnes déjà agrégés et simples plutôt que de lui faire recalculer une agrégation à chaque requête, et pour que db_layer.py puisse choisir la bonne source selon la dimension demandée (voir section 7).</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Vue</w:t>
            </w:r>
          </w:p>
        </w:tc>
        <w:tc>
          <w:tcPr>
            <w:tcW w:type="dxa" w:w="3137"/>
            <w:shd w:fill="F2405A"/>
          </w:tcPr>
          <w:p>
            <w:r/>
            <w:r>
              <w:rPr>
                <w:b/>
                <w:color w:val="FFFFFF"/>
                <w:sz w:val="19"/>
              </w:rPr>
              <w:t>Regroupée par</w:t>
            </w:r>
          </w:p>
        </w:tc>
        <w:tc>
          <w:tcPr>
            <w:tcW w:type="dxa" w:w="3137"/>
            <w:shd w:fill="F2405A"/>
          </w:tcPr>
          <w:p>
            <w:r/>
            <w:r>
              <w:rPr>
                <w:b/>
                <w:color w:val="FFFFFF"/>
                <w:sz w:val="19"/>
              </w:rPr>
              <w:t>Colonnes agrégées</w:t>
            </w:r>
          </w:p>
        </w:tc>
      </w:tr>
      <w:tr>
        <w:tc>
          <w:tcPr>
            <w:tcW w:type="dxa" w:w="3137"/>
          </w:tcPr>
          <w:p>
            <w:r/>
            <w:r>
              <w:rPr>
                <w:sz w:val="19"/>
              </w:rPr>
              <w:t>v_by_country</w:t>
            </w:r>
          </w:p>
        </w:tc>
        <w:tc>
          <w:tcPr>
            <w:tcW w:type="dxa" w:w="3137"/>
          </w:tcPr>
          <w:p>
            <w:r/>
            <w:r>
              <w:rPr>
                <w:sz w:val="19"/>
              </w:rPr>
              <w:t>country</w:t>
            </w:r>
          </w:p>
        </w:tc>
        <w:tc>
          <w:tcPr>
            <w:tcW w:type="dxa" w:w="3137"/>
          </w:tcPr>
          <w:p>
            <w:r/>
            <w:r>
              <w:rPr>
                <w:sz w:val="19"/>
              </w:rPr>
              <w:t>nb_opportunities, total_budget, total_offer, total_weighted</w:t>
            </w:r>
          </w:p>
        </w:tc>
      </w:tr>
      <w:tr>
        <w:tc>
          <w:tcPr>
            <w:tcW w:type="dxa" w:w="3137"/>
            <w:shd w:fill="FAFAF8"/>
          </w:tcPr>
          <w:p>
            <w:r/>
            <w:r>
              <w:rPr>
                <w:sz w:val="19"/>
              </w:rPr>
              <w:t>v_by_practice</w:t>
            </w:r>
          </w:p>
        </w:tc>
        <w:tc>
          <w:tcPr>
            <w:tcW w:type="dxa" w:w="3137"/>
            <w:shd w:fill="FAFAF8"/>
          </w:tcPr>
          <w:p>
            <w:r/>
            <w:r>
              <w:rPr>
                <w:sz w:val="19"/>
              </w:rPr>
              <w:t>practice</w:t>
            </w:r>
          </w:p>
        </w:tc>
        <w:tc>
          <w:tcPr>
            <w:tcW w:type="dxa" w:w="3137"/>
            <w:shd w:fill="FAFAF8"/>
          </w:tcPr>
          <w:p>
            <w:r/>
            <w:r>
              <w:rPr>
                <w:sz w:val="19"/>
              </w:rPr>
              <w:t>nb_opportunities, total_budget, total_offer, total_weighted</w:t>
            </w:r>
          </w:p>
        </w:tc>
      </w:tr>
      <w:tr>
        <w:tc>
          <w:tcPr>
            <w:tcW w:type="dxa" w:w="3137"/>
          </w:tcPr>
          <w:p>
            <w:r/>
            <w:r>
              <w:rPr>
                <w:sz w:val="19"/>
              </w:rPr>
              <w:t>v_by_status</w:t>
            </w:r>
          </w:p>
        </w:tc>
        <w:tc>
          <w:tcPr>
            <w:tcW w:type="dxa" w:w="3137"/>
          </w:tcPr>
          <w:p>
            <w:r/>
            <w:r>
              <w:rPr>
                <w:sz w:val="19"/>
              </w:rPr>
              <w:t>status</w:t>
            </w:r>
          </w:p>
        </w:tc>
        <w:tc>
          <w:tcPr>
            <w:tcW w:type="dxa" w:w="3137"/>
          </w:tcPr>
          <w:p>
            <w:r/>
            <w:r>
              <w:rPr>
                <w:sz w:val="19"/>
              </w:rPr>
              <w:t>nb_opportunities, total_budget, total_offer</w:t>
            </w:r>
          </w:p>
        </w:tc>
      </w:tr>
      <w:tr>
        <w:tc>
          <w:tcPr>
            <w:tcW w:type="dxa" w:w="3137"/>
            <w:shd w:fill="FAFAF8"/>
          </w:tcPr>
          <w:p>
            <w:r/>
            <w:r>
              <w:rPr>
                <w:sz w:val="19"/>
              </w:rPr>
              <w:t>v_by_month</w:t>
            </w:r>
          </w:p>
        </w:tc>
        <w:tc>
          <w:tcPr>
            <w:tcW w:type="dxa" w:w="3137"/>
            <w:shd w:fill="FAFAF8"/>
          </w:tcPr>
          <w:p>
            <w:r/>
            <w:r>
              <w:rPr>
                <w:sz w:val="19"/>
              </w:rPr>
              <w:t>deadline_month</w:t>
            </w:r>
          </w:p>
        </w:tc>
        <w:tc>
          <w:tcPr>
            <w:tcW w:type="dxa" w:w="3137"/>
            <w:shd w:fill="FAFAF8"/>
          </w:tcPr>
          <w:p>
            <w:r/>
            <w:r>
              <w:rPr>
                <w:sz w:val="19"/>
              </w:rPr>
              <w:t>nb_opportunities, total_budget, total_offer, total_weighted</w:t>
            </w:r>
          </w:p>
        </w:tc>
      </w:tr>
      <w:tr>
        <w:tc>
          <w:tcPr>
            <w:tcW w:type="dxa" w:w="3137"/>
          </w:tcPr>
          <w:p>
            <w:r/>
            <w:r>
              <w:rPr>
                <w:sz w:val="19"/>
              </w:rPr>
              <w:t>v_by_funding_source</w:t>
            </w:r>
          </w:p>
        </w:tc>
        <w:tc>
          <w:tcPr>
            <w:tcW w:type="dxa" w:w="3137"/>
          </w:tcPr>
          <w:p>
            <w:r/>
            <w:r>
              <w:rPr>
                <w:sz w:val="19"/>
              </w:rPr>
              <w:t>funding_source</w:t>
            </w:r>
          </w:p>
        </w:tc>
        <w:tc>
          <w:tcPr>
            <w:tcW w:type="dxa" w:w="3137"/>
          </w:tcPr>
          <w:p>
            <w:r/>
            <w:r>
              <w:rPr>
                <w:sz w:val="19"/>
              </w:rPr>
              <w:t>nb_opportunities, total_budget</w:t>
            </w:r>
          </w:p>
        </w:tc>
      </w:tr>
      <w:tr>
        <w:tc>
          <w:tcPr>
            <w:tcW w:type="dxa" w:w="3137"/>
            <w:shd w:fill="FAFAF8"/>
          </w:tcPr>
          <w:p>
            <w:r/>
            <w:r>
              <w:rPr>
                <w:sz w:val="19"/>
              </w:rPr>
              <w:t>v_by_country_practice</w:t>
            </w:r>
          </w:p>
        </w:tc>
        <w:tc>
          <w:tcPr>
            <w:tcW w:type="dxa" w:w="3137"/>
            <w:shd w:fill="FAFAF8"/>
          </w:tcPr>
          <w:p>
            <w:r/>
            <w:r>
              <w:rPr>
                <w:sz w:val="19"/>
              </w:rPr>
              <w:t>country, practice</w:t>
            </w:r>
          </w:p>
        </w:tc>
        <w:tc>
          <w:tcPr>
            <w:tcW w:type="dxa" w:w="3137"/>
            <w:shd w:fill="FAFAF8"/>
          </w:tcPr>
          <w:p>
            <w:r/>
            <w:r>
              <w:rPr>
                <w:sz w:val="19"/>
              </w:rPr>
              <w:t>nb_opportunities, total_budget, total_weighted</w:t>
            </w:r>
          </w:p>
        </w:tc>
      </w:tr>
    </w:tbl>
    <w:p/>
    <w:p>
      <w:r>
        <w:rPr>
          <w:b w:val="0"/>
          <w:i w:val="0"/>
        </w:rPr>
        <w:t>Une vue qui ne couvre pas la métrique demandée (ex. weighted_amount sur v_by_status) déclenche un repli automatique vers un GROUP BY à la volée sur opportunities plutôt qu'une erreur (voir section 7).</w:t>
      </w:r>
    </w:p>
    <w:p>
      <w:pPr>
        <w:keepNext/>
        <w:spacing w:before="280" w:after="120"/>
      </w:pPr>
      <w:r>
        <w:rPr>
          <w:b/>
          <w:color w:val="242422"/>
          <w:sz w:val="27"/>
        </w:rPr>
        <w:t>4.3 Tables techniques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Table</w:t>
            </w:r>
          </w:p>
        </w:tc>
        <w:tc>
          <w:tcPr>
            <w:tcW w:type="dxa" w:w="4706"/>
            <w:shd w:fill="F2405A"/>
          </w:tcPr>
          <w:p>
            <w:r/>
            <w:r>
              <w:rPr>
                <w:b/>
                <w:color w:val="FFFFFF"/>
                <w:sz w:val="19"/>
              </w:rPr>
              <w:t>Rôle</w:t>
            </w:r>
          </w:p>
        </w:tc>
      </w:tr>
      <w:tr>
        <w:tc>
          <w:tcPr>
            <w:tcW w:type="dxa" w:w="4706"/>
          </w:tcPr>
          <w:p>
            <w:r/>
            <w:r>
              <w:rPr>
                <w:sz w:val="19"/>
              </w:rPr>
              <w:t>dashboard_requests</w:t>
            </w:r>
          </w:p>
        </w:tc>
        <w:tc>
          <w:tcPr>
            <w:tcW w:type="dxa" w:w="4706"/>
          </w:tcPr>
          <w:p>
            <w:r/>
            <w:r>
              <w:rPr>
                <w:sz w:val="19"/>
              </w:rPr>
              <w:t>Historique : chaque question posée au chat, avec l'intention JSON extraite — utile pour l'audit et l'amélioration continue du prompt.</w:t>
            </w:r>
          </w:p>
        </w:tc>
      </w:tr>
      <w:tr>
        <w:tc>
          <w:tcPr>
            <w:tcW w:type="dxa" w:w="4706"/>
            <w:shd w:fill="FAFAF8"/>
          </w:tcPr>
          <w:p>
            <w:r/>
            <w:r>
              <w:rPr>
                <w:sz w:val="19"/>
              </w:rPr>
              <w:t>generated_dashboards</w:t>
            </w:r>
          </w:p>
        </w:tc>
        <w:tc>
          <w:tcPr>
            <w:tcW w:type="dxa" w:w="4706"/>
            <w:shd w:fill="FAFAF8"/>
          </w:tcPr>
          <w:p>
            <w:r/>
            <w:r>
              <w:rPr>
                <w:sz w:val="19"/>
              </w:rPr>
              <w:t>Cache des spécifications Vega-Lite déjà générées, indexé par le hash SHA-256 de l'intention — évite de régénérer une spec identique.</w:t>
            </w:r>
          </w:p>
        </w:tc>
      </w:tr>
      <w:tr>
        <w:tc>
          <w:tcPr>
            <w:tcW w:type="dxa" w:w="4706"/>
          </w:tcPr>
          <w:p>
            <w:r/>
            <w:r>
              <w:rPr>
                <w:sz w:val="19"/>
              </w:rPr>
              <w:t>scheduler_state</w:t>
            </w:r>
          </w:p>
        </w:tc>
        <w:tc>
          <w:tcPr>
            <w:tcW w:type="dxa" w:w="4706"/>
          </w:tcPr>
          <w:p>
            <w:r/>
            <w:r>
              <w:rPr>
                <w:sz w:val="19"/>
              </w:rPr>
              <w:t>Une ligne par job planifié (job_name, last_run_date) — permet au digest email quotidien de savoir s'il a déjà tourné aujourd'hui et de rattraper une exécution manquée sans jamais en envoyer deux (section 10.9).</w:t>
            </w:r>
          </w:p>
        </w:tc>
      </w:tr>
    </w:tbl>
    <w:p/>
    <w:p>
      <w:pPr>
        <w:keepNext/>
        <w:spacing w:before="280" w:after="120"/>
      </w:pPr>
      <w:r>
        <w:rPr>
          <w:b/>
          <w:color w:val="242422"/>
          <w:sz w:val="27"/>
        </w:rPr>
        <w:t>4.4 Accès depuis le backend</w:t>
      </w:r>
    </w:p>
    <w:p>
      <w:r>
        <w:rPr>
          <w:b w:val="0"/>
          <w:i w:val="0"/>
        </w:rPr>
        <w:t>backend/db.py centralise l'unique point de connexion : un pool (DBUtils PooledDB, 2 à 10 connexions) créé de façon paresseuse — importer les modules backend ne nécessite donc pas que MySQL soit déjà démarré, ce qui permet à la suite de tests de s'exécuter sans base de données réelle.</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requête SQL.</w:t>
      </w:r>
    </w:p>
    <w:p>
      <w:pPr>
        <w:pStyle w:val="ListNumber"/>
      </w:pPr>
      <w:r>
        <w:t>sinon, exécute build_and_execute_query(intent), puis choisit le format de réponse (table brute, carte KPI, ou graphique Vega-Lite).</w:t>
      </w:r>
    </w:p>
    <w:p>
      <w:pPr>
        <w:pStyle w:val="ListNumber"/>
      </w:pPr>
      <w:r>
        <w:t>pour un graphique, un hash de l'intention sert de clé de cache (table generated_dashboards) pour éviter de régénérer une spec déjà connue.</w:t>
      </w:r>
    </w:p>
    <w:p>
      <w:pPr>
        <w:pStyle w:val="ListNumber"/>
      </w:pPr>
      <w:r>
        <w:t>chaque requête est aussi journalisée (table dashboard_requests) à des fins d'historique.</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SQL sécurisée</w:t>
      </w:r>
    </w:p>
    <w:p>
      <w:r>
        <w:rPr>
          <w:b w:val="0"/>
          <w:i w:val="0"/>
        </w:rPr>
        <w:t>schema_and_whitelist.py est la source unique de vérité : ALLOWED_TABLES définit les tables/vues et leurs colonnes autorisées ; VALID_METRICS, VALID_DIMENSIONS, VALID_FILTERS bornent ce que le LLM peut produire. db_layer.py traduit l'intention validée en requête SQL paramétrée (jamais de concaténation de valeurs utilisateur dans la chaîne SQL).</w:t>
      </w:r>
    </w:p>
    <w:p>
      <w:pPr>
        <w:pStyle w:val="ListBullet"/>
      </w:pPr>
      <w:r>
        <w:t>Chaque dimension a une vue pré-agrégée dédiée (ex. v_by_country) ; à défaut, bascule sur un GROUP BY à la volée sur la table opportunities.</w:t>
      </w:r>
    </w:p>
    <w:p>
      <w:pPr>
        <w:pStyle w:val="ListBullet"/>
      </w:pPr>
      <w:r>
        <w:t>Un filtre à valeurs multiples (comparaison) devient une clause SQL IN (...).</w:t>
      </w:r>
    </w:p>
    <w:p>
      <w:pPr>
        <w:pStyle w:val="ListBullet"/>
      </w:pPr>
      <w:r>
        <w:t>Les filtres numériques (range_filters) supportent &lt;, &gt;, &lt;=, &gt;=, =, et between.</w:t>
      </w:r>
    </w:p>
    <w:p>
      <w:pPr>
        <w:pStyle w:val="ListBullet"/>
      </w:pPr>
      <w:r>
        <w:t>Si une vue ne contient pas la métrique demandée, bascule automatique et cohérente vers un calcul groupé sur la table brute plutôt qu'une erreur.</w:t>
      </w:r>
    </w:p>
    <w:p>
      <w:pPr>
        <w:keepNext/>
        <w:spacing w:before="400" w:after="200"/>
        <w:pBdr>
          <w:bottom w:val="single" w:sz="18" w:space="4" w:color="D42A45"/>
        </w:pBdr>
      </w:pPr>
      <w:r>
        <w:rPr>
          <w:b/>
          <w:color w:val="F2405A"/>
          <w:sz w:val="36"/>
        </w:rPr>
        <w:t>8. Génération des graphiques (Vega-Lite)</w:t>
      </w:r>
    </w:p>
    <w:p>
      <w:pPr>
        <w:keepNext/>
        <w:spacing w:before="280" w:after="120"/>
      </w:pPr>
      <w:r>
        <w:rPr>
          <w:b/>
          <w:color w:val="242422"/>
          <w:sz w:val="27"/>
        </w:rPr>
        <w:t>8.1 Bar / pie / line — règles communes</w:t>
      </w:r>
    </w:p>
    <w:p>
      <w:pPr>
        <w:pStyle w:val="ListBullet"/>
      </w:pPr>
      <w:r>
        <w:t>Un camembert de plus de 6 segments bascule automatiquement en barres horizontales (lisibilité) — MAX_PIE_SLICES / MAX_BAR_CATEGORIES.</w:t>
      </w:r>
    </w:p>
    <w:p>
      <w:pPr>
        <w:pStyle w:val="ListBullet"/>
      </w:pPr>
      <w:r>
        <w:t>Pour sum/count, la traîne au-delà du seuil est regroupée dans « Autres » ; pour avg (ex. win_probability), simple troncature — une moyenne de moyennes n'aurait pas de sens statistique.</w:t>
      </w:r>
    </w:p>
    <w:p>
      <w:pPr>
        <w:pStyle w:val="ListBullet"/>
      </w:pPr>
      <w:r>
        <w:t>Palette catégorielle fixe et validée (contraste daltonisme) pour les camemberts, distincte de la teinte de marque (ACCENT) utilisée pour les graphiques à série unique (barres/courbes) — séparation volontaire pour ne pas perturber la validation CVD de la première en retintant pour le branding.</w:t>
      </w:r>
    </w:p>
    <w:p>
      <w:pPr>
        <w:pStyle w:val="ListBullet"/>
      </w:pPr>
      <w:r>
        <w:t>Les valeurs KPI NULL (win_probability/weighted_amount, ~47% des lignes) restent None côté Python et s'affichent « N/A » — jamais silencieusement converties en 0.</w:t>
      </w:r>
    </w:p>
    <w:p>
      <w:pPr>
        <w:keepNext/>
        <w:spacing w:before="280" w:after="120"/>
      </w:pPr>
      <w:r>
        <w:rPr>
          <w:b/>
          <w:color w:val="242422"/>
          <w:sz w:val="27"/>
        </w:rPr>
        <w:t>8.2 Quatre types supplémentaires (funnel, scatter, heatmap, area)</w:t>
      </w:r>
    </w:p>
    <w:p>
      <w:r>
        <w:rPr>
          <w:b w:val="0"/>
          <w:i w:val="0"/>
        </w:rPr>
        <w:t>Ajoutés après une relecture du skill de data-visualisation (choix de forme par le job de la donnée, palette validée par un script, specs de marks) pour donner plus de façons de raconter la même donnée commerciale sans sortir du cadre CVD-safe déjà en place.</w:t>
      </w:r>
    </w:p>
    <w:p>
      <w:pPr>
        <w:pStyle w:val="ListBullet"/>
      </w:pPr>
      <w:r>
        <w:t>Entonnoir (funnel) : dimension forcée à « status » (backend/intent_refiner.py), réordonné selon l'ordre réel du pipeline (FUNNEL_STAGE_ORDER) — jamais trié par valeur, qui donnerait un entonnoir qui ne raconte rien. Les statuts de sortie (perdu, NO GO, infructueux…) sont exclus : ce sont des sorties du pipeline, pas des étapes séquentielles. Géométrie symétrique (x_start/x_end centrés sur 0) précalculée en Python — Vega-Lite ne sait pas produire un entonnoir nativement. Rampe de bleus ordinale (une teinte par étape).</w:t>
      </w:r>
    </w:p>
    <w:p>
      <w:pPr>
        <w:pStyle w:val="ListBullet"/>
      </w:pPr>
      <w:r>
        <w:t>Nuage de points (scatter) : budget × probabilité de gain, taille = montant pondéré, couleur = practice. Practice a exactement 3 valeurs fixes — sous le plafond de 3 séries que le skill impose aux formes « toutes paires » (scatter/bubble) pour rester lisible en vision daltonienne.</w:t>
      </w:r>
    </w:p>
    <w:p>
      <w:pPr>
        <w:pStyle w:val="ListBullet"/>
      </w:pPr>
      <w:r>
        <w:t>Carte de chaleur (heatmap) : n'importe quelle dimension croisée avec practice, plafonnée aux 15 valeurs les plus fortes (MAX_HEATMAP_ROWS) pour rester lisible — rampe séquentielle (un seul hue, clair → foncé), jamais une palette catégorielle sur un encodage de magnitude.</w:t>
      </w:r>
    </w:p>
    <w:p>
      <w:pPr>
        <w:pStyle w:val="ListBullet"/>
      </w:pPr>
      <w:r>
        <w:t>Aire (area) : même donnée qu'une courbe, remplissage en dégradé pour plus d'impact visuel — un principe du skill (« color comes last ») appliqué littéralement : la forme est identique à « line », seul l'habillage change.</w:t>
      </w:r>
    </w:p>
    <w:p>
      <w:pPr>
        <w:keepNext/>
        <w:spacing w:before="280" w:after="120"/>
      </w:pPr>
      <w:r>
        <w:rPr>
          <w:b/>
          <w:color w:val="242422"/>
          <w:sz w:val="27"/>
        </w:rPr>
        <w:t>8.3 Étude de cas — deux bugs texte/graphique trouvés en vérifiant en conditions réelles</w:t>
      </w:r>
    </w:p>
    <w:p>
      <w:r>
        <w:rPr>
          <w:b w:val="0"/>
          <w:i w:val="0"/>
        </w:rPr>
        <w:t>Les tests automatisés valident la structure des données ; ils ne suffisent pas à garantir que le message texte affiché au-dessus d'un graphique décrit bien ce que ce graphique montre. Deux écarts réels ont été trouvés en interrogeant l'application en direct (pas seulement en pytest) :</w:t>
      </w:r>
    </w:p>
    <w:p>
      <w:pPr>
        <w:pStyle w:val="ListBullet"/>
      </w:pPr>
      <w:r>
        <w:t>Le texte de l'entonnoir décrivait les 19 statuts de la base (y compris « Offre perdue ») alors que le graphique n'en affiche que 10 (les étapes du pipeline). Corrigé en appliquant le même filtre de statuts au texte qu'au graphique — jamais deux sources de vérité différentes pour la même réponse.</w:t>
      </w:r>
    </w:p>
    <w:p>
      <w:pPr>
        <w:pStyle w:val="ListBullet"/>
      </w:pPr>
      <w:r>
        <w:t>Le texte de la carte de chaleur annonçait 21 pays quand le graphique n'en affiche que 15 (plafond de lisibilité). Même correction : le texte réutilise désormais exactement la fonction de plafonnage du graphique.</w:t>
      </w:r>
    </w:p>
    <w:p>
      <w:r>
        <w:rPr>
          <w:b w:val="0"/>
          <w:i w:val="0"/>
        </w:rPr>
        <w:t>Les deux sont couverts par un test de non-régression dédié — la leçon retenue : un test unitaire qui vérifie chaque brique séparément peut rester vert alors que l'assemblage final ment à l'utilisateur ; seule une vérification bout-en-bout, sur de vraies données, le révèle.</w:t>
      </w:r>
    </w:p>
    <w:p>
      <w:pPr>
        <w:keepNext/>
        <w:spacing w:before="400" w:after="200"/>
        <w:pBdr>
          <w:bottom w:val="single" w:sz="18" w:space="4" w:color="D42A45"/>
        </w:pBdr>
      </w:pPr>
      <w:r>
        <w:rPr>
          <w:b/>
          <w:color w:val="F2405A"/>
          <w:sz w:val="36"/>
        </w:rPr>
        <w:t>9.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10. Alertes deadlines</w:t>
      </w:r>
    </w:p>
    <w:p>
      <w:pPr>
        <w:keepNext/>
        <w:spacing w:before="280" w:after="120"/>
      </w:pPr>
      <w:r>
        <w:rPr>
          <w:b/>
          <w:color w:val="242422"/>
          <w:sz w:val="27"/>
        </w:rPr>
        <w:t>10.1 Pourquoi ne pas se fier à la colonne days_remaining seule</w:t>
      </w:r>
    </w:p>
    <w:p>
      <w:r>
        <w:rPr>
          <w:b w:val="0"/>
          <w:i w:val="0"/>
        </w:rPr>
        <w:t>days_remaining est une colonne figée au moment de l'import des données — elle ne diminue pas toute seule au fil des jours. get_upcoming_deadline_opportunities() (alerts.py) calcule donc la fenêtre « échéance ≤ 7 jours » en direct via DATEDIFF(deadline, CURDATE()) côté MySQL, jamais depuis cette colonne. En complément, maintenance.py::refresh_days_remaining() recalcule purement et simplement cette colonne chaque nuit (UPDATE ... SET days_remaining = DATEDIFF(deadline, CURDATE())), pour que sa valeur reste cohérente partout ailleurs dans l'application (tableaux, requêtes « urgentes &lt; 7 jours » posées au chat).</w:t>
      </w:r>
    </w:p>
    <w:p>
      <w:pPr>
        <w:keepNext/>
        <w:spacing w:before="280" w:after="120"/>
      </w:pPr>
      <w:r>
        <w:rPr>
          <w:b/>
          <w:color w:val="242422"/>
          <w:sz w:val="27"/>
        </w:rPr>
        <w:t>10.2 Pourquoi recalculer plutôt que décrémenter de 1 chaque jour</w:t>
      </w:r>
    </w:p>
    <w:p>
      <w:r>
        <w:rPr>
          <w:b w:val="0"/>
          <w:i w:val="0"/>
        </w:rPr>
        <w:t>Un simple `days_remaining = days_remaining - 1` accumulerait une dérive silencieuse dès que le job est manqué un jour (serveur éteint, redémarrage) — l'écart resterait indéfiniment. Recalculer depuis la deadline réelle est idempotent et se corrige tout seul à la prochaine exécution, quel que soit le nombre de jours manqués entre-temps.</w:t>
      </w:r>
    </w:p>
    <w:p>
      <w:pPr>
        <w:keepNext/>
        <w:spacing w:before="280" w:after="120"/>
      </w:pPr>
      <w:r>
        <w:rPr>
          <w:b/>
          <w:color w:val="242422"/>
          <w:sz w:val="27"/>
        </w:rPr>
        <w:t>10.3 Deux jobs planifiés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Heure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00:05</w:t>
            </w:r>
          </w:p>
        </w:tc>
        <w:tc>
          <w:tcPr>
            <w:tcW w:type="dxa" w:w="3137"/>
          </w:tcPr>
          <w:p>
            <w:r/>
            <w:r>
              <w:rPr>
                <w:sz w:val="19"/>
              </w:rPr>
              <w:t>refresh_days_remaining</w:t>
            </w:r>
          </w:p>
        </w:tc>
        <w:tc>
          <w:tcPr>
            <w:tcW w:type="dxa" w:w="3137"/>
          </w:tcPr>
          <w:p>
            <w:r/>
            <w:r>
              <w:rPr>
                <w:sz w:val="19"/>
              </w:rPr>
              <w:t>Recalcule days_remaining pour toutes les opportunités.</w:t>
            </w:r>
          </w:p>
        </w:tc>
      </w:tr>
      <w:tr>
        <w:tc>
          <w:tcPr>
            <w:tcW w:type="dxa" w:w="3137"/>
            <w:shd w:fill="FAFAF8"/>
          </w:tcPr>
          <w:p>
            <w:r/>
            <w:r>
              <w:rPr>
                <w:sz w:val="19"/>
              </w:rPr>
              <w:t>08:00</w:t>
            </w:r>
          </w:p>
        </w:tc>
        <w:tc>
          <w:tcPr>
            <w:tcW w:type="dxa" w:w="3137"/>
            <w:shd w:fill="FAFAF8"/>
          </w:tcPr>
          <w:p>
            <w:r/>
            <w:r>
              <w:rPr>
                <w:sz w:val="19"/>
              </w:rPr>
              <w:t>run_daily_alert_check</w:t>
            </w:r>
          </w:p>
        </w:tc>
        <w:tc>
          <w:tcPr>
            <w:tcW w:type="dxa" w:w="3137"/>
            <w:shd w:fill="FAFAF8"/>
          </w:tcPr>
          <w:p>
            <w:r/>
            <w:r>
              <w:rPr>
                <w:sz w:val="19"/>
              </w:rPr>
              <w:t>Requête les opportunités actives à échéance ≤ 7 jours et envoie l'email récapitulatif si la liste n'est pas vide.</w:t>
            </w:r>
          </w:p>
        </w:tc>
      </w:tr>
    </w:tbl>
    <w:p/>
    <w:p>
      <w:r>
        <w:rPr>
          <w:b w:val="0"/>
          <w:i w:val="0"/>
        </w:rPr>
        <w:t>refresh_days_remaining() est aussi appelée une première fois au démarrage du serveur (lifespan), pour rattraper immédiatement une valeur restée figée depuis le dernier arrêt, sans attendre minuit.</w:t>
      </w:r>
    </w:p>
    <w:p>
      <w:pPr>
        <w:keepNext/>
        <w:spacing w:before="280" w:after="120"/>
      </w:pPr>
      <w:r>
        <w:rPr>
          <w:b/>
          <w:color w:val="242422"/>
          <w:sz w:val="27"/>
        </w:rPr>
        <w:t>10.4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10.5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10.6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10.7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10.8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10.9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recalcul de days_remaining, ce n'était pas un problème : il est déjà rappelé sans condition à chaque démarrage (section 10.2), et le recalculer plusieurs fois ne fait jamais de mal. Pour l'email quotidien, un rappel sans condition renverrait un doublon si le cron 8h avait déjà tourné le jour même.</w:t>
      </w:r>
    </w:p>
    <w:p>
      <w:r>
        <w:rPr>
          <w:b w:val="0"/>
          <w:i w:val="0"/>
        </w:rPr>
        <w:t>Solution : une table scheduler_state (job_name, last_run_date), auto-créée à la demande — aucune migration à relancer sur un déploiement existant. run_daily_alert_check_if_needed() vérifie d'abord si le job a déjà tourné aujourd'hui ; sinon, elle exécute la vérification puis marque la date. Appelée à la fois par le cron 8h ET au démarrage du serveur : un serveur éteint pile à 8h rattrape l'envoi dès qu'il redémarre, quelle que soit l'heure, sans jamais produire de second email le même jour.</w:t>
      </w:r>
    </w:p>
    <w:p>
      <w:pPr>
        <w:keepNext/>
        <w:spacing w:before="400" w:after="200"/>
        <w:pBdr>
          <w:bottom w:val="single" w:sz="18" w:space="4" w:color="D42A45"/>
        </w:pBdr>
      </w:pPr>
      <w:r>
        <w:rPr>
          <w:b/>
          <w:color w:val="F2405A"/>
          <w:sz w:val="36"/>
        </w:rPr>
        <w:t>11. Synchronisation Google Sheets -&gt; MySQL</w:t>
      </w:r>
    </w:p>
    <w:p>
      <w:r>
        <w:rPr>
          <w:b w:val="0"/>
          <w:i w:val="0"/>
        </w:rPr>
        <w:t>backend/sheets_sync.py. Le Sheet devient un formulaire d'ajout/modification d'opportunités, plus simple à éditer au quotidien qu'une base de données directement — l'application continue de LIRE depuis MySQL comme avant (chat, graphiques, alertes) ; ce module importe uniquement les changements du Sheet vers la base, jamais l'inverse.</w:t>
      </w:r>
    </w:p>
    <w:p>
      <w:pPr>
        <w:keepNext/>
        <w:spacing w:before="280" w:after="120"/>
      </w:pPr>
      <w:r>
        <w:rPr>
          <w:b/>
          <w:color w:val="242422"/>
          <w:sz w:val="27"/>
        </w:rPr>
        <w:t>11.1 Authentification par compte de service, pas une simple clé API</w:t>
      </w:r>
    </w:p>
    <w:p>
      <w:r>
        <w:rPr>
          <w:b w:val="0"/>
          <w:i w:val="0"/>
        </w:rPr>
        <w:t>La synchro doit pouvoir ÉCRIRE dans le Sheet (réinjecter l'id MySQL généré pour chaque nouvelle ligne, condition de son idempotence — voir 11.3), ce qu'une clé API seule ne permet pas (lecture seule). Authentification par compte de service Google (fichier JSON, ajouté en Éditeur sur le Sheet cible) via gspread.service_account().</w:t>
      </w:r>
    </w:p>
    <w:p>
      <w:pPr>
        <w:keepNext/>
        <w:spacing w:before="280" w:after="120"/>
      </w:pPr>
      <w:r>
        <w:rPr>
          <w:b/>
          <w:color w:val="242422"/>
          <w:sz w:val="27"/>
        </w:rPr>
        <w:t>11.2 Champs toujours recalculés, jamais lus depuis le Sheet</w:t>
      </w:r>
    </w:p>
    <w:p>
      <w:r>
        <w:rPr>
          <w:b w:val="0"/>
          <w:i w:val="0"/>
        </w:rPr>
        <w:t>deadline_month, deadline_year, days_remaining et weighted_amount sont toujours dérivés des colonnes brutes (deadline, financial_offer, win_probability) au moment de la synchro, même s'ils figurent en colonne dans le Sheet — même principe que days_remaining ailleurs dans le projet (section 10.1) : une donnée calculable ne doit jamais dépendre d'une saisie externe qui pourrait diverger.</w:t>
      </w:r>
    </w:p>
    <w:p>
      <w:pPr>
        <w:keepNext/>
        <w:spacing w:before="280" w:after="120"/>
      </w:pPr>
      <w:r>
        <w:rPr>
          <w:b/>
          <w:color w:val="242422"/>
          <w:sz w:val="27"/>
        </w:rPr>
        <w:t>11.3 Idempotence de l'insertion — réécriture de l'id dans le Sheet</w:t>
      </w:r>
    </w:p>
    <w:p>
      <w:r>
        <w:rPr>
          <w:b w:val="0"/>
          <w:i w:val="0"/>
        </w:rPr>
        <w:t>Une ligne sans id = nouvelle opportunité. Après l'INSERT MySQL, l'id généré (cur.lastrowid) est immédiatement réécrit dans la cellule id du Sheet — sans quoi la synchro suivante (15 minutes plus tard) réinsérerait la même ligne en double, faute de moyen de la reconnaître comme déjà traitée. Si cette réécriture échoue (ligne insérée mais Sheet non mis à jour), l'erreur est journalisée bruyamment plutôt que silencieusement absorbée — l'insertion MySQL, elle, reste acquise.</w:t>
      </w:r>
    </w:p>
    <w:p>
      <w:pPr>
        <w:keepNext/>
        <w:spacing w:before="280" w:after="120"/>
      </w:pPr>
      <w:r>
        <w:rPr>
          <w:b/>
          <w:color w:val="242422"/>
          <w:sz w:val="27"/>
        </w:rPr>
        <w:t>11.4 Validation par ligne, jamais bloquante</w:t>
      </w:r>
    </w:p>
    <w:p>
      <w:r>
        <w:rPr>
          <w:b w:val="0"/>
          <w:i w:val="0"/>
        </w:rPr>
        <w:t>Chaque ligne est validée indépendamment (dates aux deux formats acceptés, nombres avec virgule décimale, probabilité en fraction ou en pourcentage, practice/opp_type/status contre la liste blanche déjà utilisée par le chat) — une ligne invalide est journalisée et sautée, sans jamais empêcher l'import des autres. Les littéraux "NULL"/"N/A" laissés par l'export CSV -&gt; Sheets sont normalisés en valeur vide plutôt que stockés tels quels comme texte.</w:t>
      </w:r>
    </w:p>
    <w:p>
      <w:pPr>
        <w:keepNext/>
        <w:spacing w:before="280" w:after="120"/>
      </w:pPr>
      <w:r>
        <w:rPr>
          <w:b/>
          <w:color w:val="242422"/>
          <w:sz w:val="27"/>
        </w:rPr>
        <w:t>11.5 Bug trouvé en conditions réelles — cursor.rowcount ne veut pas dire ce qu'on croit</w:t>
      </w:r>
    </w:p>
    <w:p>
      <w:r>
        <w:rPr>
          <w:b w:val="0"/>
          <w:i w:val="0"/>
        </w:rPr>
        <w:t>Premier test en direct (pas seulement avec des mocks) : la synchro rapportait 1 ligne mise à jour et 359 ignorées pour « id introuvable », alors que ces ids existaient bel et bien en base. Cause : la détection « id existant vs nouveau » se fiait à cursor.rowcount après un UPDATE — or PyMySQL (sans CLIENT_FOUND_ROWS) renvoie le nombre de lignes réellement MODIFIÉES, pas trouvées. Le Sheet étant un export frais de la base, la quasi-totalité des UPDATE ne changeaient aucune valeur, donc rowcount valait 0 même sur un id existant. Corrigé en préchargeant une fois l'ensemble des ids existants (SELECT id FROM opportunities) plutôt que de déduire l'existence du résultat de l'UPDATE. Vérifié après correction : 348 lignes mises à jour, 12 sautées à raison — révélant un vrai problème de qualité de données préexistant (des valeurs opp_type comme "DP"/"AMI" saisies par erreur dans la colonne status).</w:t>
      </w:r>
    </w:p>
    <w:p>
      <w:pPr>
        <w:keepNext/>
        <w:spacing w:before="280" w:after="120"/>
      </w:pPr>
      <w:r>
        <w:rPr>
          <w:b/>
          <w:color w:val="242422"/>
          <w:sz w:val="27"/>
        </w:rPr>
        <w:t>11.6 Décision volontaire : pas de suppression automatique</w:t>
      </w:r>
    </w:p>
    <w:p>
      <w:r>
        <w:rPr>
          <w:b w:val="0"/>
          <w:i w:val="0"/>
        </w:rPr>
        <w:t>Retirer une ligne du Sheet ne supprime jamais l'opportunité correspondante en base. Une synchro automatique et non surveillée, qui tourne indéfiniment toutes les 15 minutes, est le mauvais endroit pour une opération destructive et irréversible : une lecture partielle, un mauvais onglet ou un Sheet vidé par erreur pourrait effacer de vraies données sans que personne ne le voie venir avant le prochain passage. Ajout et modification seulement — un choix de prudence assumé plutôt qu'un oubli.</w:t>
      </w:r>
    </w:p>
    <w:p>
      <w:pPr>
        <w:keepNext/>
        <w:spacing w:before="280" w:after="120"/>
      </w:pPr>
      <w:r>
        <w:rPr>
          <w:b/>
          <w:color w:val="242422"/>
          <w:sz w:val="27"/>
        </w:rPr>
        <w:t>11.7 Optimisation — mettre en cache la résolution du Sheet, pas seulement le client</w:t>
      </w:r>
    </w:p>
    <w:p>
      <w:r>
        <w:rPr>
          <w:b w:val="0"/>
          <w:i w:val="0"/>
        </w:rPr>
        <w:t>Profilage demandé après coup, pour vérifier l'absence de régression de performance : le coût réel n'était pas les écritures MySQL (360 UPDATE séquentiels mesurés à 0.032s au total) mais open_by_key() + worksheet(), deux allers-retours réseau vers l'API Google Sheets (1.6s mesurés à eux deux) — rejoués à chaque appel de sync_sheet_to_mysql() alors que le client gspread authentifié, lui, était déjà mis en cache. Corrigé en mettant aussi en cache l'objet Worksheet résolu : un appel répété passe de 1.6s à 0s, et une synchro complète de ~1.1s à ~0.4s une fois le cache chaud — un gain qui se répète indéfiniment, toutes les 15 minutes. Les trois tâches de démarrage (recalcul days_remaining, vérification d'alerte, synchro Sheets) bloquaient aussi le démarrage du serveur (exécutées avant que FastAPI n'accepte une seule requête HTTP, dans lifespan()) ; elles tournent désormais comme jobs « une fois immédiatement » sur le thread du scheduler, sans retarder la disponibilité du serveur.</w:t>
      </w:r>
    </w:p>
    <w:p>
      <w:pPr>
        <w:keepNext/>
        <w:spacing w:before="280" w:after="120"/>
      </w:pPr>
      <w:r>
        <w:rPr>
          <w:b/>
          <w:color w:val="242422"/>
          <w:sz w:val="27"/>
        </w:rPr>
        <w:t>11.8 Déclenchement</w:t>
      </w:r>
    </w:p>
    <w:p>
      <w:r>
        <w:rPr>
          <w:b w:val="0"/>
          <w:i w:val="0"/>
        </w:rPr>
        <w:t>Trois déclencheurs : toutes les 15 minutes (APScheduler, job sheets_sync_periodic), une fois au démarrage du serveur, et à la demande via POST /sheets/sync — utile pour forcer un import sans attendre le prochain cycle.</w:t>
      </w:r>
    </w:p>
    <w:p>
      <w:pPr>
        <w:keepNext/>
        <w:spacing w:before="400" w:after="200"/>
        <w:pBdr>
          <w:bottom w:val="single" w:sz="18" w:space="4" w:color="D42A45"/>
        </w:pBdr>
      </w:pPr>
      <w:r>
        <w:rPr>
          <w:b/>
          <w:color w:val="F2405A"/>
          <w:sz w:val="36"/>
        </w:rPr>
        <w:t>12. Frontend (Vite + React)</w:t>
      </w:r>
    </w:p>
    <w:p>
      <w:pPr>
        <w:pStyle w:val="ListBullet"/>
      </w:pPr>
      <w:r>
        <w:t>Composants principaux : ChatPanel, DashboardPanel, AlertBanner, VegaChart, DataTable, StatTile, ThemeToggle, DevoteamLogo.</w:t>
      </w:r>
    </w:p>
    <w:p>
      <w:pPr>
        <w:pStyle w:val="ListBullet"/>
      </w:pPr>
      <w:r>
        <w:t>Hooks dédiés : useTheme (clair/sombre), useChatHistory (persistance localStorage), useVegaEmbed (rendu Vega-Lite dans le DOM).</w:t>
      </w:r>
    </w:p>
    <w:p>
      <w:pPr>
        <w:pStyle w:val="ListBullet"/>
      </w:pPr>
      <w:r>
        <w:t>Thème géré par variables CSS (custom properties) — le mode sombre est SÉLECTIONNÉ avec ses propres valeurs, pas un simple filtre inversé automatique.</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12.1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12.2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13.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14. Tests automatisés</w:t>
      </w:r>
    </w:p>
    <w:p>
      <w:r>
        <w:rPr>
          <w:b w:val="0"/>
          <w:i w:val="0"/>
        </w:rPr>
        <w:t>143 tests pytest, sans dépendance réseau ni base de données réelle : le client Gemini, les connexions MySQL et le client Google Sheets (gspread) sont simulés (monkeypatch) via de faux objets (fake cursor/connection capturant la requête générée pour l'affirmer dans le test). Complétés systématiquement par une vérification en conditions réelles (DB MySQL réelle, appel Gemini réel, et compilation par le vrai moteur vega-lite en Node.js) — les tests protègent contre les régressions, la vérification réelle est ce qui a révélé les deux bugs texte/graphique de la section 8.3.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37</w:t>
            </w:r>
          </w:p>
        </w:tc>
        <w:tc>
          <w:tcPr>
            <w:tcW w:type="dxa" w:w="3137"/>
          </w:tcPr>
          <w:p>
            <w:r/>
            <w:r>
              <w:rPr>
                <w:sz w:val="19"/>
              </w:rPr>
              <w:t>Dates relatives, parseur par mots-clés, affinage d'intention, normalisation funnel/heatmap/scatter/days_remaining/exclude_statuses.</w:t>
            </w:r>
          </w:p>
        </w:tc>
      </w:tr>
      <w:tr>
        <w:tc>
          <w:tcPr>
            <w:tcW w:type="dxa" w:w="3137"/>
            <w:shd w:fill="FAFAF8"/>
          </w:tcPr>
          <w:p>
            <w:r/>
            <w:r>
              <w:rPr>
                <w:sz w:val="19"/>
              </w:rPr>
              <w:t>test_vega_generator.py</w:t>
            </w:r>
          </w:p>
        </w:tc>
        <w:tc>
          <w:tcPr>
            <w:tcW w:type="dxa" w:w="3137"/>
            <w:shd w:fill="FAFAF8"/>
          </w:tcPr>
          <w:p>
            <w:r/>
            <w:r>
              <w:rPr>
                <w:sz w:val="19"/>
              </w:rPr>
              <w:t>18</w:t>
            </w:r>
          </w:p>
        </w:tc>
        <w:tc>
          <w:tcPr>
            <w:tcW w:type="dxa" w:w="3137"/>
            <w:shd w:fill="FAFAF8"/>
          </w:tcPr>
          <w:p>
            <w:r/>
            <w:r>
              <w:rPr>
                <w:sz w:val="19"/>
              </w:rPr>
              <w:t>Cardinalité des graphiques, palette, valeurs NULL, les 4 nouveaux types de graphiques.</w:t>
            </w:r>
          </w:p>
        </w:tc>
      </w:tr>
      <w:tr>
        <w:tc>
          <w:tcPr>
            <w:tcW w:type="dxa" w:w="3137"/>
          </w:tcPr>
          <w:p>
            <w:r/>
            <w:r>
              <w:rPr>
                <w:sz w:val="19"/>
              </w:rPr>
              <w:t>test_llm_validation.py</w:t>
            </w:r>
          </w:p>
        </w:tc>
        <w:tc>
          <w:tcPr>
            <w:tcW w:type="dxa" w:w="3137"/>
          </w:tcPr>
          <w:p>
            <w:r/>
            <w:r>
              <w:rPr>
                <w:sz w:val="19"/>
              </w:rPr>
              <w:t>14</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13</w:t>
            </w:r>
          </w:p>
        </w:tc>
        <w:tc>
          <w:tcPr>
            <w:tcW w:type="dxa" w:w="3137"/>
            <w:shd w:fill="FAFAF8"/>
          </w:tcPr>
          <w:p>
            <w:r/>
            <w:r>
              <w:rPr>
                <w:sz w:val="19"/>
              </w:rPr>
              <w:t>Formatage des unités, messages texte déterministes, cohérence texte/graphique pour funnel et heatmap.</w:t>
            </w:r>
          </w:p>
        </w:tc>
      </w:tr>
      <w:tr>
        <w:tc>
          <w:tcPr>
            <w:tcW w:type="dxa" w:w="3137"/>
          </w:tcPr>
          <w:p>
            <w:r/>
            <w:r>
              <w:rPr>
                <w:sz w:val="19"/>
              </w:rPr>
              <w:t>test_db_layer.py</w:t>
            </w:r>
          </w:p>
        </w:tc>
        <w:tc>
          <w:tcPr>
            <w:tcW w:type="dxa" w:w="3137"/>
          </w:tcPr>
          <w:p>
            <w:r/>
            <w:r>
              <w:rPr>
                <w:sz w:val="19"/>
              </w:rPr>
              <w:t>13</w:t>
            </w:r>
          </w:p>
        </w:tc>
        <w:tc>
          <w:tcPr>
            <w:tcW w:type="dxa" w:w="3137"/>
          </w:tcPr>
          <w:p>
            <w:r/>
            <w:r>
              <w:rPr>
                <w:sz w:val="19"/>
              </w:rPr>
              <w:t>Construction des requêtes SQL, choix de vue, clauses IN/BETWEEN, requête 2D du heatmap, chemin brut du scatter, exclusion de statuts.</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en direct, exclusion des statuts clos, envoi email, rattrapage idempotent du scheduler.</w:t>
            </w:r>
          </w:p>
        </w:tc>
      </w:tr>
      <w:tr>
        <w:tc>
          <w:tcPr>
            <w:tcW w:type="dxa" w:w="3137"/>
          </w:tcPr>
          <w:p>
            <w:r/>
            <w:r>
              <w:rPr>
                <w:sz w:val="19"/>
              </w:rPr>
              <w:t>test_maintenance.py</w:t>
            </w:r>
          </w:p>
        </w:tc>
        <w:tc>
          <w:tcPr>
            <w:tcW w:type="dxa" w:w="3137"/>
          </w:tcPr>
          <w:p>
            <w:r/>
            <w:r>
              <w:rPr>
                <w:sz w:val="19"/>
              </w:rPr>
              <w:t>3</w:t>
            </w:r>
          </w:p>
        </w:tc>
        <w:tc>
          <w:tcPr>
            <w:tcW w:type="dxa" w:w="3137"/>
          </w:tcPr>
          <w:p>
            <w:r/>
            <w:r>
              <w:rPr>
                <w:sz w:val="19"/>
              </w:rPr>
              <w:t>Recalcul de days_remaining, résilience à une panne DB.</w:t>
            </w:r>
          </w:p>
        </w:tc>
      </w:tr>
      <w:tr>
        <w:tc>
          <w:tcPr>
            <w:tcW w:type="dxa" w:w="3137"/>
            <w:shd w:fill="FAFAF8"/>
          </w:tcPr>
          <w:p>
            <w:r/>
            <w:r>
              <w:rPr>
                <w:sz w:val="19"/>
              </w:rPr>
              <w:t>test_sheets_sync.py</w:t>
            </w:r>
          </w:p>
        </w:tc>
        <w:tc>
          <w:tcPr>
            <w:tcW w:type="dxa" w:w="3137"/>
            <w:shd w:fill="FAFAF8"/>
          </w:tcPr>
          <w:p>
            <w:r/>
            <w:r>
              <w:rPr>
                <w:sz w:val="19"/>
              </w:rPr>
              <w:t>33</w:t>
            </w:r>
          </w:p>
        </w:tc>
        <w:tc>
          <w:tcPr>
            <w:tcW w:type="dxa" w:w="3137"/>
            <w:shd w:fill="FAFAF8"/>
          </w:tcPr>
          <w:p>
            <w:r/>
            <w:r>
              <w:rPr>
                <w:sz w:val="19"/>
              </w:rPr>
              <w:t>Parsing/validation par ligne, littéraux NULL, insertion + réécriture d'id et des colonnes calculées, détection id existant/inconnu, ligne invalide sautée sans bloquer les autres, résilience à une panne de lecture du Sheet.</w:t>
            </w:r>
          </w:p>
        </w:tc>
      </w:tr>
    </w:tbl>
    <w:p/>
    <w:p>
      <w:pPr>
        <w:keepNext/>
        <w:spacing w:before="400" w:after="200"/>
        <w:pBdr>
          <w:bottom w:val="single" w:sz="18" w:space="4" w:color="D42A45"/>
        </w:pBdr>
      </w:pPr>
      <w:r>
        <w:rPr>
          <w:b/>
          <w:color w:val="F2405A"/>
          <w:sz w:val="36"/>
        </w:rPr>
        <w:t>15.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MySQL plutôt que SQLite comme prévu dans le brief initial ?</w:t>
      </w:r>
    </w:p>
    <w:p>
      <w:r>
        <w:rPr>
          <w:b w:val="0"/>
          <w:i w:val="0"/>
        </w:rPr>
        <w:t>Accès concurrent plus robuste pour un backend multi-requêtes, support natif de vues pré-agrégées par dimension, et un pool de connexions dédié — le schéma reste simple, donc la complexité ajoutée reste faible face au bénéfice.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Pourquoi recalculer days_remaining plutôt que le décrémenter de 1 chaque jour ?</w:t>
      </w:r>
    </w:p>
    <w:p>
      <w:r>
        <w:rPr>
          <w:b w:val="0"/>
          <w:i w:val="0"/>
        </w:rPr>
        <w:t>Un décrément accumule une dérive silencieuse si un jour est manqué (serveur éteint). Recalculer depuis DATEDIFF(deadline, CURDATE()) est idempotent : le résultat est toujours correct, peu importe combien de jours se sont écoulés depuis la dernière exécution.</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Une table scheduler_state (job_name, last_run_date) trace la dernière exécution.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Pourquoi ne pas synchroniser aussi les suppressions (Sheet -&gt; base) ?</w:t>
      </w:r>
    </w:p>
    <w:p>
      <w:r>
        <w:rPr>
          <w:b w:val="0"/>
          <w:i w:val="0"/>
        </w:rPr>
        <w:t>Choix de prudence délibéré, pas un oubli : la synchro tourne toutes les 15 minutes sans supervision humaine. Une suppression automatique y est le pire endroit possible pour une opération destructive et irréversible — une lecture partielle, un mauvais onglet ou un Sheet vidé par erreur effacerait de vraies données avant que quiconque ne le remarque. Le risque a été explicitement évalué avec le porteur du projet, qui a choisi de garantir seulement l'ajout et la modification plutôt que la fonctionnalité complète.</w:t>
      </w:r>
    </w:p>
    <w:p>
      <w:pPr>
        <w:keepNext/>
        <w:spacing w:before="200" w:after="80"/>
      </w:pPr>
      <w:r>
        <w:rPr>
          <w:b/>
          <w:color w:val="D42A45"/>
          <w:sz w:val="23"/>
        </w:rPr>
        <w:t>Q : Un test avec des mocks peut-il garantir qu'une intégration externe (Google Sheets, MySQL) fonctionne réellement ?</w:t>
      </w:r>
    </w:p>
    <w:p>
      <w:r>
        <w:rPr>
          <w:b w:val="0"/>
          <w:i w:val="0"/>
        </w:rPr>
        <w:t>Non — exemple concret rencontré sur ce projet : tous les tests mockés de la synchro Sheets passaient, mais le premier essai en conditions réelles rapportait 359 lignes sur 360 comme « id introuvable » alors qu'elles existaient toutes en base. La cause (cursor.rowcount qui compte les lignes modifiées, pas trouvées) n'était visible qu'avec de vraies données où la plupart des UPDATE ne changent rien. Les mocks avaient simulé le comportement qu'on attendait de rowcount, pas son vrai comportement — la leçon : les mocks valident la logique connue, seule une vérification en conditions réelles révèle ce qu'on n'avait pas anticipé.</w:t>
      </w:r>
    </w:p>
    <w:p>
      <w:pPr>
        <w:keepNext/>
        <w:spacing w:before="400" w:after="200"/>
        <w:pBdr>
          <w:bottom w:val="single" w:sz="18" w:space="4" w:color="D42A45"/>
        </w:pBdr>
      </w:pPr>
      <w:r>
        <w:rPr>
          <w:b/>
          <w:color w:val="F2405A"/>
          <w:sz w:val="36"/>
        </w:rPr>
        <w:t>16.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Le nuage de points et la carte de chaleur n'ont pas de garde-fou de cardinalité aussi mûr que bar/pie pour des cas extrêmes (dimension à très forte cardinalité en axe du heatmap au-delà du plafond testé).</w:t>
      </w:r>
    </w:p>
    <w:p>
      <w:pPr>
        <w:pStyle w:val="ListBullet"/>
      </w:pPr>
      <w:r>
        <w:t>La synchro Google Sheets ne détecte pas les suppressions (section 11.6, choix délibéré) et retraite chaque ligne à chaque passage plutôt que de ne toucher que les lignes changées — sans impact réel à l'échelle actuelle (360 lignes/15 min), mais à reconsidérer si le Sheet grossissait beaucoup.</w:t>
      </w:r>
    </w:p>
    <w:p>
      <w:pPr>
        <w:pStyle w:val="ListBullet"/>
      </w:pPr>
      <w:r>
        <w:t>12 opportunités en base ont un status invalide, présent avant même la synchro Sheets et jamais détecté faute de validation stricte à l'écriture d'origine (section 11.5) — à corriger manuellement ou à ajouter à la liste blanche si ce sont des statuts légitimes.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