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produit instantanément le graphique, la carte KPI ou le tableau correspondant, à partir des données réelles des opportunités commerciales stockées en base.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visualisation (huit types de graphiques au choix), et un système d'alerte proactive par email et dans l'interface pour les opportunités dont l'échéance approche, avec une donnée « jours restants » recalculée chaque jour pour rester exacte.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Visualisation</w:t>
      </w:r>
    </w:p>
    <w:p>
      <w:pPr>
        <w:pStyle w:val="ListBullet"/>
      </w:pPr>
      <w:r>
        <w:t>Huit types de rendu au choix, décidés automatiquement selon la question : barres, courbes, camemberts, cartes KPI, tableaux détaillés, entonnoir de vente, nuage de points et carte de chaleur (Vega-Lite).</w:t>
      </w:r>
    </w:p>
    <w:p>
      <w:pPr>
        <w:pStyle w:val="ListBullet"/>
      </w:pPr>
      <w:r>
        <w:t>Entonnoir de vente : nombre ou budget par étape du pipeline commercial, dans l'ordre réel du cycle de vente — visualise directement où les deals se perdent.</w:t>
      </w:r>
    </w:p>
    <w:p>
      <w:pPr>
        <w:pStyle w:val="ListBullet"/>
      </w:pPr>
      <w:r>
        <w:t>Nuage de points : budget vs probabilité de gain, taille des points = montant pondéré — révèle si les gros budgets ont statistiquement plus de chances de gagner.</w:t>
      </w:r>
    </w:p>
    <w:p>
      <w:pPr>
        <w:pStyle w:val="ListBullet"/>
      </w:pPr>
      <w:r>
        <w:t>Carte de chaleur : intensité croisée entre une dimension (pays, statut…) et practice, pour repérer d'un coup d'œil les combinaisons les plus fortes.</w:t>
      </w:r>
    </w:p>
    <w:p>
      <w:pPr>
        <w:pStyle w:val="ListBullet"/>
      </w:pPr>
      <w:r>
        <w:t>Bascule automatique camembert → barres horizontales au-delà de 6 segments, pour rester lisible.</w:t>
      </w:r>
    </w:p>
    <w:p>
      <w:pPr>
        <w:pStyle w:val="ListBullet"/>
      </w:pPr>
      <w:r>
        <w:t>Thème clair / sombre, palette de couleurs validée pour l'accessibilité (daltonisme).</w:t>
      </w:r>
    </w:p>
    <w:p>
      <w:pPr>
        <w:pStyle w:val="ListBullet"/>
      </w:pPr>
      <w:r>
        <w:t>Mise en cache des graphiques déjà générés pour un ré-affichage instantané.</w:t>
      </w:r>
    </w:p>
    <w:p>
      <w:pPr>
        <w:keepNext/>
        <w:spacing w:before="280" w:after="120"/>
      </w:pPr>
      <w:r>
        <w:rPr>
          <w:b/>
          <w:color w:val="242422"/>
          <w:sz w:val="27"/>
        </w:rPr>
        <w:t>4.3 Alertes deadlines (nouvelle fonctionnalité)</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chaque nuit à partir de la date réelle du jour, pour ne jamais afficher un chiffre obsolète.</w:t>
      </w:r>
    </w:p>
    <w:p>
      <w:pPr>
        <w:keepNext/>
        <w:spacing w:before="280" w:after="120"/>
      </w:pPr>
      <w:r>
        <w:rPr>
          <w:b/>
          <w:color w:val="242422"/>
          <w:sz w:val="27"/>
        </w:rPr>
        <w:t>4.4 Synchronisation Google Sheets (nouvelle fonctionnalité)</w:t>
      </w:r>
    </w:p>
    <w:p>
      <w:pPr>
        <w:pStyle w:val="ListBullet"/>
      </w:pPr>
      <w:r>
        <w:t>Un Google Sheet sert de formulaire d'ajout et de modification d'opportunités — plus simple à éditer au quotidien qu'une base de données directement.</w:t>
      </w:r>
    </w:p>
    <w:p>
      <w:pPr>
        <w:pStyle w:val="ListBullet"/>
      </w:pPr>
      <w:r>
        <w:t>Synchronisation à sens unique (Sheet vers base) toutes les 15 minutes, au démarrage du serveur, et à la demande — la base reste la seule source lue par le chat, les graphiques et les alertes, jamais le Sheet directement.</w:t>
      </w:r>
    </w:p>
    <w:p>
      <w:pPr>
        <w:pStyle w:val="ListBullet"/>
      </w:pPr>
      <w:r>
        <w:t>Chaque ligne est validée indépendamment (dates, montants, statuts) ; une ligne invalide est journalisée et sautée, sans jamais bloquer l'import des autres.</w:t>
      </w:r>
    </w:p>
    <w:p>
      <w:pPr>
        <w:pStyle w:val="ListBullet"/>
      </w:pPr>
      <w:r>
        <w:t>Volontairement sans suppression automatique : retirer une ligne du Sheet ne supprime jamais l'opportunité correspondante en base — un choix de prudence assumé sur une tâche qui tourne sans surveillance humaine.</w:t>
      </w:r>
    </w:p>
    <w:p>
      <w:pPr>
        <w:keepNext/>
        <w:spacing w:before="280" w:after="120"/>
      </w:pPr>
      <w:r>
        <w:rPr>
          <w:b/>
          <w:color w:val="242422"/>
          <w:sz w:val="27"/>
        </w:rPr>
        <w:t>4.5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 le LLM ne produit jamais directement un graphique ou du SQL. Il transforme la question de l'utilisateur en une structure intermédiaire strictement validée (métrique, dimension, filtres, type de graphique…), qui est ensuite traduite en requête SQL sécurisée par du code déterministe. Cette séparation garantit que les résultats affichés proviennent toujours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Requête SQL sécurisée</w:t>
            </w:r>
          </w:p>
        </w:tc>
        <w:tc>
          <w:tcPr>
            <w:tcW w:type="dxa" w:w="4706"/>
            <w:shd w:fill="FAFAF8"/>
          </w:tcPr>
          <w:p>
            <w:r/>
            <w:r>
              <w:rPr>
                <w:sz w:val="19"/>
              </w:rPr>
              <w:t>L'intention est traduite en requête paramétrée sur une liste blanche de tables/colonnes autorisées.</w:t>
            </w:r>
          </w:p>
        </w:tc>
      </w:tr>
      <w:tr>
        <w:tc>
          <w:tcPr>
            <w:tcW w:type="dxa" w:w="4706"/>
          </w:tcPr>
          <w:p>
            <w:r/>
            <w:r>
              <w:rPr>
                <w:sz w:val="19"/>
              </w:rPr>
              <w:t>5. Génération du résultat</w:t>
            </w:r>
          </w:p>
        </w:tc>
        <w:tc>
          <w:tcPr>
            <w:tcW w:type="dxa" w:w="4706"/>
          </w:tcPr>
          <w:p>
            <w:r/>
            <w:r>
              <w:rPr>
                <w:sz w:val="19"/>
              </w:rPr>
              <w:t>Graphique Vega-Lite, carte KPI ou tableau, plus un message texte calculé directement depuis les données (jamais rédigé par le LLM).</w:t>
            </w:r>
          </w:p>
        </w:tc>
      </w:tr>
      <w:tr>
        <w:tc>
          <w:tcPr>
            <w:tcW w:type="dxa" w:w="4706"/>
            <w:shd w:fill="FAFAF8"/>
          </w:tcPr>
          <w:p>
            <w:r/>
            <w:r>
              <w:rPr>
                <w:sz w:val="19"/>
              </w:rPr>
              <w:t>6. Affichage</w:t>
            </w:r>
          </w:p>
        </w:tc>
        <w:tc>
          <w:tcPr>
            <w:tcW w:type="dxa" w:w="4706"/>
            <w:shd w:fill="FAFAF8"/>
          </w:tcPr>
          <w:p>
            <w:r/>
            <w:r>
              <w:rPr>
                <w:sz w:val="19"/>
              </w:rPr>
              <w:t>Le frontend React affiche le résultat, avec mise en cache pour les requêtes déjà vues.</w:t>
            </w:r>
          </w:p>
        </w:tc>
      </w:tr>
    </w:tbl>
    <w:p/>
    <w:p>
      <w:r>
        <w:rPr>
          <w:b w:val="0"/>
          <w:i w:val="0"/>
        </w:rPr>
        <w:t>L'alerte deadlines suit le même principe de fiabilité : la vérification des échéances se fait par un calcul de date direct en base (jamais une valeur mise en cache trop longtemps), sur un calendrier automatique indépendant de toute action utilisateur.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Base de données</w:t>
            </w:r>
          </w:p>
        </w:tc>
        <w:tc>
          <w:tcPr>
            <w:tcW w:type="dxa" w:w="3137"/>
            <w:shd w:fill="FAFAF8"/>
          </w:tcPr>
          <w:p>
            <w:r/>
            <w:r>
              <w:rPr>
                <w:sz w:val="19"/>
              </w:rPr>
              <w:t>MySQL / MariaDB (XAMPP)</w:t>
            </w:r>
          </w:p>
        </w:tc>
        <w:tc>
          <w:tcPr>
            <w:tcW w:type="dxa" w:w="3137"/>
            <w:shd w:fill="FAFAF8"/>
          </w:tcPr>
          <w:p>
            <w:r/>
            <w:r>
              <w:rPr>
                <w:sz w:val="19"/>
              </w:rPr>
              <w:t>Vues pré-agrégées par dimension, requêtes paramétrées, adapté au volume et à l'hébergement local.</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Visualisation</w:t>
            </w:r>
          </w:p>
        </w:tc>
        <w:tc>
          <w:tcPr>
            <w:tcW w:type="dxa" w:w="3137"/>
            <w:shd w:fill="FAFAF8"/>
          </w:tcPr>
          <w:p>
            <w:r/>
            <w:r>
              <w:rPr>
                <w:sz w:val="19"/>
              </w:rPr>
              <w:t>Vega-Lite / vega-embed</w:t>
            </w:r>
          </w:p>
        </w:tc>
        <w:tc>
          <w:tcPr>
            <w:tcW w:type="dxa" w:w="3137"/>
            <w:shd w:fill="FAFAF8"/>
          </w:tcPr>
          <w:p>
            <w:r/>
            <w:r>
              <w:rPr>
                <w:sz w:val="19"/>
              </w:rPr>
              <w:t>Grammaire de graphiques déclarative en JSON, génération automatique fiable, rendu navigateur natif.</w:t>
            </w:r>
          </w:p>
        </w:tc>
      </w:tr>
      <w:tr>
        <w:tc>
          <w:tcPr>
            <w:tcW w:type="dxa" w:w="3137"/>
          </w:tcPr>
          <w:p>
            <w:r/>
            <w:r>
              <w:rPr>
                <w:sz w:val="19"/>
              </w:rPr>
              <w:t>Frontend</w:t>
            </w:r>
          </w:p>
        </w:tc>
        <w:tc>
          <w:tcPr>
            <w:tcW w:type="dxa" w:w="3137"/>
          </w:tcPr>
          <w:p>
            <w:r/>
            <w:r>
              <w:rPr>
                <w:sz w:val="19"/>
              </w:rPr>
              <w:t>Vite + React</w:t>
            </w:r>
          </w:p>
        </w:tc>
        <w:tc>
          <w:tcPr>
            <w:tcW w:type="dxa" w:w="3137"/>
          </w:tcPr>
          <w:p>
            <w:r/>
            <w:r>
              <w:rPr>
                <w:sz w:val="19"/>
              </w:rPr>
              <w:t>Interface réactive, thème clair/sombre, build optimisé pour un déploiement local en un seul processus.</w:t>
            </w:r>
          </w:p>
        </w:tc>
      </w:tr>
      <w:tr>
        <w:tc>
          <w:tcPr>
            <w:tcW w:type="dxa" w:w="3137"/>
            <w:shd w:fill="FAFAF8"/>
          </w:tcPr>
          <w:p>
            <w:r/>
            <w:r>
              <w:rPr>
                <w:sz w:val="19"/>
              </w:rPr>
              <w:t>Planification des tâches</w:t>
            </w:r>
          </w:p>
        </w:tc>
        <w:tc>
          <w:tcPr>
            <w:tcW w:type="dxa" w:w="3137"/>
            <w:shd w:fill="FAFAF8"/>
          </w:tcPr>
          <w:p>
            <w:r/>
            <w:r>
              <w:rPr>
                <w:sz w:val="19"/>
              </w:rPr>
              <w:t>APScheduler</w:t>
            </w:r>
          </w:p>
        </w:tc>
        <w:tc>
          <w:tcPr>
            <w:tcW w:type="dxa" w:w="3137"/>
            <w:shd w:fill="FAFAF8"/>
          </w:tcPr>
          <w:p>
            <w:r/>
            <w:r>
              <w:rPr>
                <w:sz w:val="19"/>
              </w:rPr>
              <w:t>Exécution fiable des vérifications quotidiennes (alertes deadlines, mise à jour des données) sans dépendance externe.</w:t>
            </w:r>
          </w:p>
        </w:tc>
      </w:tr>
      <w:tr>
        <w:tc>
          <w:tcPr>
            <w:tcW w:type="dxa" w:w="3137"/>
          </w:tcPr>
          <w:p>
            <w:r/>
            <w:r>
              <w:rPr>
                <w:sz w:val="19"/>
              </w:rPr>
              <w:t>Envoi d'emails</w:t>
            </w:r>
          </w:p>
        </w:tc>
        <w:tc>
          <w:tcPr>
            <w:tcW w:type="dxa" w:w="3137"/>
          </w:tcPr>
          <w:p>
            <w:r/>
            <w:r>
              <w:rPr>
                <w:sz w:val="19"/>
              </w:rPr>
              <w:t>SMTP Gmail (STARTTLS)</w:t>
            </w:r>
          </w:p>
        </w:tc>
        <w:tc>
          <w:tcPr>
            <w:tcW w:type="dxa" w:w="3137"/>
          </w:tcPr>
          <w:p>
            <w:r/>
            <w:r>
              <w:rPr>
                <w:sz w:val="19"/>
              </w:rPr>
              <w:t>Solution simple et gratuite pour un usage interne, sans infrastructure d'envoi supplémentaire à maintenir.</w:t>
            </w:r>
          </w:p>
        </w:tc>
      </w:tr>
      <w:tr>
        <w:tc>
          <w:tcPr>
            <w:tcW w:type="dxa" w:w="3137"/>
            <w:shd w:fill="FAFAF8"/>
          </w:tcPr>
          <w:p>
            <w:r/>
            <w:r>
              <w:rPr>
                <w:sz w:val="19"/>
              </w:rPr>
              <w:t>Synchro Google Sheets</w:t>
            </w:r>
          </w:p>
        </w:tc>
        <w:tc>
          <w:tcPr>
            <w:tcW w:type="dxa" w:w="3137"/>
            <w:shd w:fill="FAFAF8"/>
          </w:tcPr>
          <w:p>
            <w:r/>
            <w:r>
              <w:rPr>
                <w:sz w:val="19"/>
              </w:rPr>
              <w:t>Google Sheets API (gspread)</w:t>
            </w:r>
          </w:p>
        </w:tc>
        <w:tc>
          <w:tcPr>
            <w:tcW w:type="dxa" w:w="3137"/>
            <w:shd w:fill="FAFAF8"/>
          </w:tcPr>
          <w:p>
            <w:r/>
            <w:r>
              <w:rPr>
                <w:sz w:val="19"/>
              </w:rPr>
              <w:t>Permet aux équipes commerciales de gérer les opportunités depuis un tableur familier, plutôt qu'en éditant la base directement.</w:t>
            </w:r>
          </w:p>
        </w:tc>
      </w:tr>
      <w:tr>
        <w:tc>
          <w:tcPr>
            <w:tcW w:type="dxa" w:w="3137"/>
          </w:tcPr>
          <w:p>
            <w:r/>
            <w:r>
              <w:rPr>
                <w:sz w:val="19"/>
              </w:rPr>
              <w:t>Tests</w:t>
            </w:r>
          </w:p>
        </w:tc>
        <w:tc>
          <w:tcPr>
            <w:tcW w:type="dxa" w:w="3137"/>
          </w:tcPr>
          <w:p>
            <w:r/>
            <w:r>
              <w:rPr>
                <w:sz w:val="19"/>
              </w:rPr>
              <w:t>pytest (143 tests)</w:t>
            </w:r>
          </w:p>
        </w:tc>
        <w:tc>
          <w:tcPr>
            <w:tcW w:type="dxa" w:w="3137"/>
          </w:tcPr>
          <w:p>
            <w:r/>
            <w:r>
              <w:rPr>
                <w:sz w:val="19"/>
              </w:rPr>
              <w:t>Suite automatisée sans dépendance réseau/DB réelle (mocks), garde-fou contre les régressions.</w:t>
            </w:r>
          </w:p>
        </w:tc>
      </w:tr>
    </w:tbl>
    <w:p/>
    <w:p>
      <w:r>
        <w:rPr>
          <w:b w:val="0"/>
          <w:i w:val="0"/>
        </w:rPr>
        <w:t>Côté données, la base MySQL repose sur une table principale `opportunities` (360 opportunités commerciales, 18 colonnes : pays, practice, statut, budget, échéance…) et six vues pré-agrégées par dimension (pays, practice, statut, mois, source de financement, croisement pays/practice), qui accélèrent les questions les plus fréquentes du chat sans dupliquer les données.</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interroger que les tables et colonnes d'une liste blanche explicite — aucune requête SQL libre.</w:t>
      </w:r>
    </w:p>
    <w:p>
      <w:pPr>
        <w:pStyle w:val="ListBullet"/>
      </w:pPr>
      <w:r>
        <w:t>Toute valeur de filtre non reconnue avec confiance déclenche une demande de clarification plutôt qu'une hypothèse silencieuse.</w:t>
      </w:r>
    </w:p>
    <w:p>
      <w:pPr>
        <w:pStyle w:val="ListBullet"/>
      </w:pPr>
      <w:r>
        <w:t>143 tests automatisés couvrent la compréhension du langage, la couche SQL, la génération des graphiques, le système d'alerte et la synchronisation Sheets.</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9. État d'avancement et roadmap</w:t>
      </w:r>
    </w:p>
    <w:p>
      <w:r>
        <w:rPr>
          <w:b w:val="0"/>
          <w:i w:val="0"/>
        </w:rPr>
        <w:t>L'application est complète et fonctionnelle de bout en bout, en hébergement local. Dix-sept phases de développement ont été livrées, de la mise en place du backend jusqu'à la synchronisation Google Sheets et l'optimisation de ses performances (dernières phases en date).</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Suivi analytique des sessions utilisateur.</w:t>
      </w:r>
    </w:p>
    <w:p>
      <w:pPr>
        <w:pStyle w:val="ListBullet"/>
      </w:pPr>
      <w:r>
        <w:t>Barres empilées/groupées (2 dimensions croisées, ex: budget par pays décomposé par statut) — nécessite une évolution du schéma d'intention.</w:t>
      </w:r>
    </w:p>
    <w:p>
      <w:pPr>
        <w:keepNext/>
        <w:spacing w:before="400" w:after="200"/>
        <w:pBdr>
          <w:bottom w:val="single" w:sz="18" w:space="4" w:color="D42A45"/>
        </w:pBdr>
      </w:pPr>
      <w:r>
        <w:rPr>
          <w:b/>
          <w:color w:val="F2405A"/>
          <w:sz w:val="36"/>
        </w:rPr>
        <w:t>10.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 ; les nouveaux types de graphiques donnent aux équipes davantage de façons de présenter et d'expliquer ces données à un client.</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