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Les deux modes d'exécution</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Section « Vue d'ensemble commerciale » (11 widgets), produite par scripts/generate_accueil.py, versionnée et relue en revue.</w:t>
            </w:r>
          </w:p>
        </w:tc>
      </w:tr>
      <w:tr>
        <w:tc>
          <w:tcPr>
            <w:tcW w:type="dxa" w:w="4706"/>
            <w:shd w:fill="FAFAF8"/>
          </w:tcPr>
          <w:p>
            <w:r/>
            <w:r>
              <w:rPr>
                <w:sz w:val="19"/>
              </w:rPr>
              <w:t>dac/dashboards/section_*.yml</w:t>
            </w:r>
          </w:p>
        </w:tc>
        <w:tc>
          <w:tcPr>
            <w:tcW w:type="dxa" w:w="4706"/>
            <w:shd w:fill="FAFAF8"/>
          </w:tcPr>
          <w:p>
            <w:r/>
            <w:r>
              <w:rPr>
                <w:sz w:val="19"/>
              </w:rPr>
              <w:t>Les quatre autres sections du tableau de bord principal (affaires chaudes, santé du portefeuille, pipeline, échéances) — 17 widgets, même générateur.</w:t>
            </w:r>
          </w:p>
        </w:tc>
      </w:tr>
      <w:tr>
        <w:tc>
          <w:tcPr>
            <w:tcW w:type="dxa" w:w="4706"/>
          </w:tcPr>
          <w:p>
            <w:r/>
            <w:r>
              <w:rPr>
                <w:sz w:val="19"/>
              </w:rPr>
              <w:t>backend/overview_match.py</w:t>
            </w:r>
          </w:p>
        </w:tc>
        <w:tc>
          <w:tcPr>
            <w:tcW w:type="dxa" w:w="4706"/>
          </w:tcPr>
          <w:p>
            <w:r/>
            <w:r>
              <w:rPr>
                <w:sz w:val="19"/>
              </w:rPr>
              <w:t>Décide si une section répond déjà à la question posée, et laquelle ; sa table est prouvée par les tests.</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418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170,0 M DT additionnait 66,1 M DT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DT,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une affaire qu'on va PROBABLEMENT gagner et qui n'est PAS ENCORE gagnée : statut « Offre remise », OU probabilité de gain dans [80 %, 100 %[. Une réunion, pas une intersection — l'un des deux critères suffit. La borne haute est exclue parce que 100 % n'est pas une prévision dans ces données mais un constat : les 88 lignes à 1,0 sont toutes « Offre gagnée » ou « Offre signée ». Le portefeuille chaud compte ainsi 9 opportunités — celles qu'il reste à aller chercher. Les offres perdues en sortent d'elles-mêmes sans qu'aucun filtre soit nécessaire : ni leur statut ni leur pondération, vide dans le Sheet, ne les retiennent.</w:t>
      </w:r>
    </w:p>
    <w:p>
      <w:pPr>
        <w:spacing w:before="40"/>
      </w:pPr>
      <w:r>
        <w:rPr>
          <w:i/>
          <w:color w:val="52514E"/>
          <w:sz w:val="19"/>
        </w:rPr>
        <w:t>Ce périmètre a d'abord été restreint aux offres encore en jeu (14 affaires), puis élargi sur décision métier. La question qui l'a déclenché — « pourquoi des offres à 100 % n'apparaissent-elles pas ? » — a d'ailleurs mis au jour une convention de saisie : la pondération est une PRÉVISION tant que l'offre est ouverte (40 % ou 80 %), un CONSTAT à 100 % une fois gagnée, et vide une fois perdue. Les 88 opportunités à 100 % sont exactement les 88 déjà gagnées ou signées, sans une exception.</w:t>
      </w:r>
    </w:p>
    <w:p>
      <w:r>
        <w:rPr>
          <w:b w:val="0"/>
          <w:i w:val="0"/>
        </w:rPr>
        <w:t>L'indicateur ne mesure donc plus un pipeline à pousser mais un portefeuille à forte confiance, mêlant l'acquis et l'à-venir. Les intitulés le disent : « Budget à forte confiance » plutôt que « Budget en jeu », qui laissait entendre une affaire encore ouverte.</w:t>
      </w:r>
    </w:p>
    <w:p>
      <w:r>
        <w:rPr>
          <w:b w:val="0"/>
          <w:i w:val="0"/>
        </w:rPr>
        <w:t>Le détail occupe sa propre ligne, répartie en TROIS tables côte à côte. Le tableau de DAC ne défilant pas verticalement, sa hauteur est son nombre de lignes : la répartir en trois la divise par trois sans en retirer une seule, ce qui était la contrainte. NTILE(3) plutôt qu'un seuil de rang en dur, le total changeant avec le filtre de période — 35/35/35 sur l'historique, 19/18/18 par défaut, rangs continus et sans doublon. Le rang est affiché : trois listes triées côte à côte ne diraient pas, sinon, laquelle vient en premier.</w:t>
      </w:r>
    </w:p>
    <w:p>
      <w:pPr>
        <w:spacing w:before="40"/>
      </w:pPr>
      <w:r>
        <w:rPr>
          <w:i/>
          <w:color w:val="52514E"/>
          <w:sz w:val="19"/>
        </w:rPr>
        <w:t>Le widget tableau de Bruin DAC ne défile pas verticalement : son élément externe est un simple overflow-x-auto, sans hauteur ni overflow-y, dans un cadre overflow-hidden. Borner la hauteur de la ligne le CLIPPE au lieu de le rendre défilable, et aucun contournement n'existe — le schéma refuse height sur un widget, le thème refuse le CSS, le TSX partage le même modèle que le YAML, et le markdown d'un widget text est rendu sans rehype-raw, donc sans HTML brut. Un rendu React hors de l'iframe a été essayé puis retiré : il donnait la molette mais sortait le tableau du dashboard.</w:t>
      </w:r>
    </w:p>
    <w:p>
      <w:pPr>
        <w:spacing w:before="40"/>
      </w:pPr>
      <w:r>
        <w:rPr>
          <w:i/>
          <w:color w:val="52514E"/>
          <w:sz w:val="19"/>
        </w:rPr>
        <w:t>Les montants sont en dinars, et DAC ne sait pas l'ecrire a cote du nombre : son schema refuse suffix, unit et prefix sur une valeur, et son format currency applique le prefixe $ de son formateur d3 — soit des dollars affiches la ou il s'agit de dinars. L'unite vit donc sur les LIBELLES (nom de KPI, titre d'axe, en-tete de colonne), ou elle se lit tout aussi bien sans empecher le nombre de rester triable et aligne a droite.</w:t>
      </w:r>
    </w:p>
    <w:p>
      <w:r>
        <w:rPr>
          <w:b w:val="0"/>
          <w:i w:val="0"/>
        </w:rPr>
        <w:t>Le tableau passant par pandas et les KPI par du SQL, un test confronte les deux définitions sur les mêmes lignes. Il a révélé un piège de DuckDB : « NaN &gt;= 0.8 » y vaut VRAI. Le vrai export écrit des NULL, donc rien n'est faux en production, mais s'il écrivait des NaN le KPI des affaires chaudes compterait les 170 lignes sans pondération sans qu'aucune requête n'échoue. Un test l'interdit désormais.</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Compléter plutôt que remplacer</w:t>
      </w:r>
    </w:p>
    <w:p>
      <w:r>
        <w:rPr>
          <w:b w:val="0"/>
          <w:i w:val="0"/>
        </w:rPr>
        <w:t>« Ajoute le budget par pays » place un widget de plus sur le tableau de bord affiché au lieu de le recomposer. Le verbe ne change rien à l'analyse demandée — même métrique, même axe, mêmes filtres — seulement la façon dont le résultat rejoint l'écran : d'où un simple drapeau porté par l'intention, plutôt qu'un chemin de composition parallèle à maintenir.</w:t>
      </w:r>
    </w:p>
    <w:p>
      <w:pPr>
        <w:spacing w:before="40"/>
      </w:pPr>
      <w:r>
        <w:rPr>
          <w:i/>
          <w:color w:val="52514E"/>
          <w:sz w:val="19"/>
        </w:rPr>
        <w:t>Limite acceptée volontairement : l'ajout ne complète PAS la vue d'ensemble, seulement le tableau de bord de travail. Les widgets de la vue d'ensemble suivent les filtres de période et de practice de la page, qu'un widget ajouté ne connaît pas — déplacer le filtre mettrait 24 widgets à jour et pas le 25e. Un piège silencieux vaut moins qu'une limite énoncée.</w:t>
      </w:r>
    </w:p>
    <w:p>
      <w:r>
        <w:rPr>
          <w:b w:val="0"/>
          <w:i w:val="0"/>
        </w:rPr>
        <w:t>Un ajout déjà présent est signalé comme tel plutôt qu'annoncé à tort, et un plafond de 24 widgets empêche la page de devenir un mur où l'on ne trouve plus rien.</w:t>
      </w:r>
    </w:p>
    <w:p>
      <w:pPr>
        <w:keepNext/>
        <w:spacing w:before="280" w:after="120"/>
      </w:pPr>
      <w:r>
        <w:rPr>
          <w:b/>
          <w:color w:val="242422"/>
          <w:sz w:val="27"/>
        </w:rPr>
        <w:t>9.8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9.9 Un seul cadre, cinq sections,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r>
        <w:rPr>
          <w:b w:val="0"/>
          <w:i w:val="0"/>
        </w:rPr>
        <w:t>Le tableau de bord principal, lui, est découpé en cinq dashboards (accueil.yml et section_*.yml) que la barre d'onglets fait défiler. Le découpage n'est pas un choix d'esthétique : DAC ne gère pas les dashboards multi-pages — la clé « pages » est rejetée par son schéma — et douze rangées à faire défiler en sachant où regarder valaient moins que cinq pages qu'on choisit. Les cinq fichiers sont découpés par scripts/generate_accueil.py à partir du même document assemblé, aux mêmes intertitres qui séparaient déjà les groupes : les règles métier restent donc écrites en un seul endroit.</w:t>
      </w:r>
    </w:p>
    <w:p>
      <w:pPr>
        <w:keepNext/>
        <w:spacing w:before="280" w:after="120"/>
      </w:pPr>
      <w:r>
        <w:rPr>
          <w:b/>
          <w:color w:val="242422"/>
          <w:sz w:val="27"/>
        </w:rPr>
        <w:t>9.10 « Offres gagnées » est un terme métier, comme « offre remise »</w:t>
      </w:r>
    </w:p>
    <w:p>
      <w:r>
        <w:rPr>
          <w:b w:val="0"/>
          <w:i w:val="0"/>
        </w:rPr>
        <w:t>La question « combien d'offres gagnées ? » donnait tantôt 56, tantôt 88 selon la formulation : le modèle proposait parfois le statut littéral « Offre gagnée », parfois l'ensemble des issues favorables — qui comprend aussi « Offre signée ». Le terme est désormais tranché par le code, comme « offre remise » l'était déjà : il vaut toujours les deux statuts, quelle que soit la phrase.</w:t>
      </w:r>
    </w:p>
    <w:p>
      <w:r>
        <w:rPr>
          <w:b w:val="0"/>
          <w:i w:val="0"/>
        </w:rPr>
        <w:t>La correction a mis au jour la même asymétrie sur la négation : « offres non gagnées » n'écartait qu'un des deux statuts, si bien que les offres signées comptaient dans les DEUX réponses et que les deux questions inverses ne partitionnaient pas le portefeuille. Les deux formes sont désormais traitées ensemble — 88 gagnées et 141 non gagnées redonnent bien les 229 opportunités actives.</w:t>
      </w:r>
    </w:p>
    <w:p>
      <w:pPr>
        <w:keepNext/>
        <w:spacing w:before="280" w:after="120"/>
      </w:pPr>
      <w:r>
        <w:rPr>
          <w:b/>
          <w:color w:val="242422"/>
          <w:sz w:val="27"/>
        </w:rPr>
        <w:t>9.11 Réutiliser une section : une table prouvée, jamais supposée</w:t>
      </w:r>
    </w:p>
    <w:p>
      <w:r>
        <w:rPr>
          <w:b w:val="0"/>
          <w:i w:val="0"/>
        </w:rPr>
        <w:t>Composer un tableau de bord pour une question à laquelle une section répond déjà fait perdre deux choses : l'utilisateur quitte une page qu'il connaît, et le chiffre affiché provient d'une composition faite à la volée plutôt que d'un widget relu. backend/overview_match.py décide donc, avant toute écriture, si une section porte la réponse — et laquelle.</w:t>
      </w:r>
    </w:p>
    <w:p>
      <w:r>
        <w:rPr>
          <w:b w:val="0"/>
          <w:i w:val="0"/>
        </w:rPr>
        <w:t>La première version de cette table associait (métrique, axe) à une page en supposant qu'une même métrique sur un même axe désignait la même question. C'est faux : le périmètre diffère. Vérification faite widget par widget, cinq des huit entrées désignaient une page répondant à autre chose — « budget par pays » menait à une section sans aucun widget par pays, et « combien d'offres » à un indicateur valant 147 quand le chat en annonce 229 (les offres remises dont l'échéance est passée, contre le portefeuille actif). Les deux chiffres sont justes ; la page contredisait la phrase qu'on venait de lire.</w:t>
      </w:r>
    </w:p>
    <w:p>
      <w:r>
        <w:rPr>
          <w:b w:val="0"/>
          <w:i w:val="0"/>
        </w:rPr>
        <w:t>La leçon porte moins sur la table que sur la méthode. Elle ne conserve que les entrées prouvées, et la preuve est devenue un test : tests/test_reutilisation_fidele.py exécute les deux moteurs sur les mêmes lignes et refuse toute entrée dont le total ou le nombre de lignes diffère, avec un contrôle négatif qui vérifie que le test sait dire non. Ajouter une entrée fausse fait désormais tomber la suite au lieu d'atteindre l'utilisateur.</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Un seul tableau de bord, et des transitions en fondu</w:t>
      </w:r>
    </w:p>
    <w:p>
      <w:r>
        <w:rPr>
          <w:b w:val="0"/>
          <w:i w:val="0"/>
        </w:rPr>
        <w:t>La bascule entre « Vue d'ensemble » et « Mon tableau de bord » a été retirée : il n'y a plus qu'un tableau de bord, qui s'ouvre sur la vue d'ensemble et que les questions transforment. Le rechargement de la page y revient — l'affichage et le contexte de la dernière question ne sont plus restaurés, car les conserver rouvrait une analyse que personne n'avait redemandée et laissait une suite comme « en camembert » ajuster un tableau de bord qu'on ne regardait plus. La conversation, elle, reste conservée.</w:t>
      </w:r>
    </w:p>
    <w:p>
      <w:pPr>
        <w:spacing w:before="40"/>
      </w:pPr>
      <w:r>
        <w:rPr>
          <w:i/>
          <w:color w:val="52514E"/>
          <w:sz w:val="19"/>
        </w:rPr>
        <w:t>Recharger l'iframe en place la vidait le temps du chargement : l'écran passait au blanc à chaque question. Deux cadres se superposent désormais — celui qu'on regarde, et le suivant qui charge par-dessus, invisible. Quand il est prêt il devient opaque, et l'ancien n'est retiré qu'ENSUITE, une fois le fondu terminé : retirer l'ancien au moment de la promotion aurait laissé apparaître le fond entre les deux.</w:t>
      </w:r>
    </w:p>
    <w:p>
      <w:r>
        <w:rPr>
          <w:b w:val="0"/>
          <w:i w:val="0"/>
        </w:rPr>
        <w:t>Le squelette animé ne sert donc plus qu'au tout premier affichage, quand il n'y a effectivement rien à montrer en attendant (démarrage à froid du moteur de requête). Les fois suivantes, le tableau de bord précédent tient ce rôle bien mieux, et un fil d'attente de deux pixels en tête signale le travail en cours. La préférence système « mouvement réduit » ramène le tout à un basculement instantané, sans jamais rouvrir de fenêtre de vide.</w:t>
      </w:r>
    </w:p>
    <w:p>
      <w:pPr>
        <w:keepNext/>
        <w:spacing w:before="280" w:after="120"/>
      </w:pPr>
      <w:r>
        <w:rPr>
          <w:b/>
          <w:color w:val="242422"/>
          <w:sz w:val="27"/>
        </w:rPr>
        <w:t>13.4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337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62</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29</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40</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test_hot_deals.py</w:t>
            </w:r>
          </w:p>
        </w:tc>
        <w:tc>
          <w:tcPr>
            <w:tcW w:type="dxa" w:w="3137"/>
          </w:tcPr>
          <w:p>
            <w:r/>
            <w:r>
              <w:rPr>
                <w:sz w:val="19"/>
              </w:rPr>
              <w:t>9</w:t>
            </w:r>
          </w:p>
        </w:tc>
        <w:tc>
          <w:tcPr>
            <w:tcW w:type="dxa" w:w="3137"/>
          </w:tcPr>
          <w:p>
            <w:r/>
            <w:r>
              <w:rPr>
                <w:sz w:val="19"/>
              </w:rPr>
              <w:t>Le critere des affaires chaudes de bout en bout : seuil inclusif, statut sans effet, ponderation absente ecartee, accord entre la definition pandas et le SQL des KPI, et NULL plutot que NaN a l export.</w:t>
            </w:r>
          </w:p>
        </w:tc>
      </w:tr>
      <w:tr>
        <w:tc>
          <w:tcPr>
            <w:tcW w:type="dxa" w:w="3137"/>
            <w:shd w:fill="FAFAF8"/>
          </w:tcPr>
          <w:p>
            <w:r/>
            <w:r>
              <w:rPr>
                <w:sz w:val="19"/>
              </w:rPr>
              <w:t>test_accueil_dashboard.py</w:t>
            </w:r>
          </w:p>
        </w:tc>
        <w:tc>
          <w:tcPr>
            <w:tcW w:type="dxa" w:w="3137"/>
            <w:shd w:fill="FAFAF8"/>
          </w:tcPr>
          <w:p>
            <w:r/>
            <w:r>
              <w:rPr>
                <w:sz w:val="19"/>
              </w:rPr>
              <w:t>11</w:t>
            </w:r>
          </w:p>
        </w:tc>
        <w:tc>
          <w:tcPr>
            <w:tcW w:type="dxa" w:w="3137"/>
            <w:shd w:fill="FAFAF8"/>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tcPr>
          <w:p>
            <w:r/>
            <w:r>
              <w:rPr>
                <w:sz w:val="19"/>
              </w:rPr>
              <w:t>test_palette.py</w:t>
            </w:r>
          </w:p>
        </w:tc>
        <w:tc>
          <w:tcPr>
            <w:tcW w:type="dxa" w:w="3137"/>
          </w:tcPr>
          <w:p>
            <w:r/>
            <w:r>
              <w:rPr>
                <w:sz w:val="19"/>
              </w:rPr>
              <w:t>3</w:t>
            </w:r>
          </w:p>
        </w:tc>
        <w:tc>
          <w:tcPr>
            <w:tcW w:type="dxa" w:w="3137"/>
          </w:tcPr>
          <w:p>
            <w:r/>
            <w:r>
              <w:rPr>
                <w:sz w:val="19"/>
              </w:rPr>
              <w:t>La palette de graphiques vit dans deux fichiers qui doivent rester identiques ; chaque teinte atteint 3:1 avec la surface ; aucune n est employee deux fois.</w:t>
            </w:r>
          </w:p>
        </w:tc>
      </w:tr>
      <w:tr>
        <w:tc>
          <w:tcPr>
            <w:tcW w:type="dxa" w:w="3137"/>
            <w:shd w:fill="FAFAF8"/>
          </w:tcPr>
          <w:p>
            <w:r/>
            <w:r>
              <w:rPr>
                <w:sz w:val="19"/>
              </w:rPr>
              <w:t>test_frontend_proxy.py</w:t>
            </w:r>
          </w:p>
        </w:tc>
        <w:tc>
          <w:tcPr>
            <w:tcW w:type="dxa" w:w="3137"/>
            <w:shd w:fill="FAFAF8"/>
          </w:tcPr>
          <w:p>
            <w:r/>
            <w:r>
              <w:rPr>
                <w:sz w:val="19"/>
              </w:rPr>
              <w:t>3</w:t>
            </w:r>
          </w:p>
        </w:tc>
        <w:tc>
          <w:tcPr>
            <w:tcW w:type="dxa" w:w="3137"/>
            <w:shd w:fill="FAFAF8"/>
          </w:tcPr>
          <w:p>
            <w:r/>
            <w:r>
              <w:rPr>
                <w:sz w:val="19"/>
              </w:rPr>
              <w:t>Les appels de src/api.js, les prefixes du proxy Vite et les routes de main.py doivent rester d accord ; le montage statique reste declare en dernier.</w:t>
            </w:r>
          </w:p>
        </w:tc>
      </w:tr>
      <w:tr>
        <w:tc>
          <w:tcPr>
            <w:tcW w:type="dxa" w:w="3137"/>
          </w:tcPr>
          <w:p>
            <w:r/>
            <w:r>
              <w:rPr>
                <w:sz w:val="19"/>
              </w:rPr>
              <w:t>test_alerts.py</w:t>
            </w:r>
          </w:p>
        </w:tc>
        <w:tc>
          <w:tcPr>
            <w:tcW w:type="dxa" w:w="3137"/>
          </w:tcPr>
          <w:p>
            <w:r/>
            <w:r>
              <w:rPr>
                <w:sz w:val="19"/>
              </w:rPr>
              <w:t>12</w:t>
            </w:r>
          </w:p>
        </w:tc>
        <w:tc>
          <w:tcPr>
            <w:tcW w:type="dxa" w:w="3137"/>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Les deux modes d'exécution</w:t>
      </w:r>
    </w:p>
    <w:p>
      <w:r>
        <w:rPr>
          <w:b w:val="0"/>
          <w:i w:val="0"/>
        </w:rPr>
        <w:t>L'application se lance de deux façons, et se tromper est silencieux. Un raccourci de Bureau existe pour chacune (scripts/create_shortcut.ps1 les crée toutes les deux).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r>
          </w:p>
        </w:tc>
        <w:tc>
          <w:tcPr>
            <w:tcW w:type="dxa" w:w="3137"/>
            <w:shd w:fill="F2405A"/>
          </w:tcPr>
          <w:p>
            <w:r/>
            <w:r>
              <w:rPr>
                <w:b/>
                <w:color w:val="FFFFFF"/>
                <w:sz w:val="19"/>
              </w:rPr>
              <w:t>Développement</w:t>
            </w:r>
          </w:p>
        </w:tc>
        <w:tc>
          <w:tcPr>
            <w:tcW w:type="dxa" w:w="3137"/>
            <w:shd w:fill="F2405A"/>
          </w:tcPr>
          <w:p>
            <w:r/>
            <w:r>
              <w:rPr>
                <w:b/>
                <w:color w:val="FFFFFF"/>
                <w:sz w:val="19"/>
              </w:rPr>
              <w:t>Production</w:t>
            </w:r>
          </w:p>
        </w:tc>
      </w:tr>
      <w:tr>
        <w:tc>
          <w:tcPr>
            <w:tcW w:type="dxa" w:w="3137"/>
          </w:tcPr>
          <w:p>
            <w:r/>
            <w:r>
              <w:rPr>
                <w:sz w:val="19"/>
              </w:rPr>
              <w:t>Lanceur</w:t>
            </w:r>
          </w:p>
        </w:tc>
        <w:tc>
          <w:tcPr>
            <w:tcW w:type="dxa" w:w="3137"/>
          </w:tcPr>
          <w:p>
            <w:r/>
            <w:r>
              <w:rPr>
                <w:sz w:val="19"/>
              </w:rPr>
              <w:t>scripts/start_dev.bat</w:t>
            </w:r>
          </w:p>
        </w:tc>
        <w:tc>
          <w:tcPr>
            <w:tcW w:type="dxa" w:w="3137"/>
          </w:tcPr>
          <w:p>
            <w:r/>
            <w:r>
              <w:rPr>
                <w:sz w:val="19"/>
              </w:rPr>
              <w:t>scripts/start_prod.bat</w:t>
            </w:r>
          </w:p>
        </w:tc>
      </w:tr>
      <w:tr>
        <w:tc>
          <w:tcPr>
            <w:tcW w:type="dxa" w:w="3137"/>
            <w:shd w:fill="FAFAF8"/>
          </w:tcPr>
          <w:p>
            <w:r/>
            <w:r>
              <w:rPr>
                <w:sz w:val="19"/>
              </w:rPr>
              <w:t>Processus</w:t>
            </w:r>
          </w:p>
        </w:tc>
        <w:tc>
          <w:tcPr>
            <w:tcW w:type="dxa" w:w="3137"/>
            <w:shd w:fill="FAFAF8"/>
          </w:tcPr>
          <w:p>
            <w:r/>
            <w:r>
              <w:rPr>
                <w:sz w:val="19"/>
              </w:rPr>
              <w:t>3 (API, DAC, Vite)</w:t>
            </w:r>
          </w:p>
        </w:tc>
        <w:tc>
          <w:tcPr>
            <w:tcW w:type="dxa" w:w="3137"/>
            <w:shd w:fill="FAFAF8"/>
          </w:tcPr>
          <w:p>
            <w:r/>
            <w:r>
              <w:rPr>
                <w:sz w:val="19"/>
              </w:rPr>
              <w:t>2 (API + interface, DAC)</w:t>
            </w:r>
          </w:p>
        </w:tc>
      </w:tr>
      <w:tr>
        <w:tc>
          <w:tcPr>
            <w:tcW w:type="dxa" w:w="3137"/>
          </w:tcPr>
          <w:p>
            <w:r/>
            <w:r>
              <w:rPr>
                <w:sz w:val="19"/>
              </w:rPr>
              <w:t>Frontend</w:t>
            </w:r>
          </w:p>
        </w:tc>
        <w:tc>
          <w:tcPr>
            <w:tcW w:type="dxa" w:w="3137"/>
          </w:tcPr>
          <w:p>
            <w:r/>
            <w:r>
              <w:rPr>
                <w:sz w:val="19"/>
              </w:rPr>
              <w:t>servi par Vite, port 5173</w:t>
            </w:r>
          </w:p>
        </w:tc>
        <w:tc>
          <w:tcPr>
            <w:tcW w:type="dxa" w:w="3137"/>
          </w:tcPr>
          <w:p>
            <w:r/>
            <w:r>
              <w:rPr>
                <w:sz w:val="19"/>
              </w:rPr>
              <w:t>compilé, servi par le backend</w:t>
            </w:r>
          </w:p>
        </w:tc>
      </w:tr>
      <w:tr>
        <w:tc>
          <w:tcPr>
            <w:tcW w:type="dxa" w:w="3137"/>
            <w:shd w:fill="FAFAF8"/>
          </w:tcPr>
          <w:p>
            <w:r/>
            <w:r>
              <w:rPr>
                <w:sz w:val="19"/>
              </w:rPr>
              <w:t>Adresse</w:t>
            </w:r>
          </w:p>
        </w:tc>
        <w:tc>
          <w:tcPr>
            <w:tcW w:type="dxa" w:w="3137"/>
            <w:shd w:fill="FAFAF8"/>
          </w:tcPr>
          <w:p>
            <w:r/>
            <w:r>
              <w:rPr>
                <w:sz w:val="19"/>
              </w:rPr>
              <w:t>http://localhost:5173</w:t>
            </w:r>
          </w:p>
        </w:tc>
        <w:tc>
          <w:tcPr>
            <w:tcW w:type="dxa" w:w="3137"/>
            <w:shd w:fill="FAFAF8"/>
          </w:tcPr>
          <w:p>
            <w:r/>
            <w:r>
              <w:rPr>
                <w:sz w:val="19"/>
              </w:rPr>
              <w:t>http://127.0.0.1:8000</w:t>
            </w:r>
          </w:p>
        </w:tc>
      </w:tr>
      <w:tr>
        <w:tc>
          <w:tcPr>
            <w:tcW w:type="dxa" w:w="3137"/>
          </w:tcPr>
          <w:p>
            <w:r/>
            <w:r>
              <w:rPr>
                <w:sz w:val="19"/>
              </w:rPr>
              <w:t>Rechargement à chaud</w:t>
            </w:r>
          </w:p>
        </w:tc>
        <w:tc>
          <w:tcPr>
            <w:tcW w:type="dxa" w:w="3137"/>
          </w:tcPr>
          <w:p>
            <w:r/>
            <w:r>
              <w:rPr>
                <w:sz w:val="19"/>
              </w:rPr>
              <w:t>oui (--reload)</w:t>
            </w:r>
          </w:p>
        </w:tc>
        <w:tc>
          <w:tcPr>
            <w:tcW w:type="dxa" w:w="3137"/>
          </w:tcPr>
          <w:p>
            <w:r/>
            <w:r>
              <w:rPr>
                <w:sz w:val="19"/>
              </w:rPr>
              <w:t>non</w:t>
            </w:r>
          </w:p>
        </w:tc>
      </w:tr>
      <w:tr>
        <w:tc>
          <w:tcPr>
            <w:tcW w:type="dxa" w:w="3137"/>
            <w:shd w:fill="FAFAF8"/>
          </w:tcPr>
          <w:p>
            <w:r/>
            <w:r>
              <w:rPr>
                <w:sz w:val="19"/>
              </w:rPr>
              <w:t>Workers uvicorn</w:t>
            </w:r>
          </w:p>
        </w:tc>
        <w:tc>
          <w:tcPr>
            <w:tcW w:type="dxa" w:w="3137"/>
            <w:shd w:fill="FAFAF8"/>
          </w:tcPr>
          <w:p>
            <w:r/>
            <w:r>
              <w:rPr>
                <w:sz w:val="19"/>
              </w:rPr>
              <w:t>1</w:t>
            </w:r>
          </w:p>
        </w:tc>
        <w:tc>
          <w:tcPr>
            <w:tcW w:type="dxa" w:w="3137"/>
            <w:shd w:fill="FAFAF8"/>
          </w:tcPr>
          <w:p>
            <w:r/>
            <w:r>
              <w:rPr>
                <w:sz w:val="19"/>
              </w:rPr>
              <w:t>1 (imposé)</w:t>
            </w:r>
          </w:p>
        </w:tc>
      </w:tr>
    </w:tbl>
    <w:p/>
    <w:p>
      <w:r>
        <w:rPr>
          <w:b w:val="0"/>
          <w:i w:val="0"/>
        </w:rPr>
        <w:t>Trois différences méritent leur justification. Le rechargement à chaud surveille l'arborescence — que l'application modifie elle-même, puisque chaque question réécrit dac/dashboards/_principal.yml : en production, le serveur se redémarrerait à chaque réponse qu'il vient de produire. Le frontend doit être compilé AVANT le démarrage, car le backend sert frontend/dist tel qu'il le trouve : partir sur une compilation périmée afficherait l'ancienne interface sans le moindre signe, et le script s'arrête donc si npm run build échoue. Enfin un seul worker, parce que le jeu de données vit en mémoire dans le processus et qu'un planificateur y tourne : plusieurs workers garderaient chacun leur copie des données ET relanceraient le planificateur — emails d'alerte en double, écritures concurrentes dans le Google Sheet.</w:t>
      </w:r>
    </w:p>
    <w:p>
      <w:pPr>
        <w:spacing w:before="40"/>
      </w:pPr>
      <w:r>
        <w:rPr>
          <w:i/>
          <w:color w:val="52514E"/>
          <w:sz w:val="19"/>
        </w:rPr>
        <w:t>tests/test_lanceurs.py confronte les deux scripts : ils ne peuvent pas dériver l'un vers l'autre sans faire échouer les tests.</w:t>
      </w:r>
    </w:p>
    <w:p>
      <w:pPr>
        <w:keepNext/>
        <w:spacing w:before="400" w:after="200"/>
        <w:pBdr>
          <w:bottom w:val="single" w:sz="18" w:space="4" w:color="D42A45"/>
        </w:pBdr>
      </w:pPr>
      <w:r>
        <w:rPr>
          <w:b/>
          <w:color w:val="F2405A"/>
          <w:sz w:val="36"/>
        </w:rPr>
        <w:t>18.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