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Octobre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pPr>
        <w:pStyle w:val="ListBullet"/>
      </w:pPr>
      <w:r>
        <w:rPr>
          <w:color w:val="242422"/>
        </w:rPr>
        <w:t>Déploiement sur un poste neuf (Docker, INSTALLER.bat)</w:t>
      </w:r>
    </w:p>
    <w:p>
      <w:pPr>
        <w:pStyle w:val="ListBullet"/>
      </w:pPr>
      <w:r>
        <w:rPr>
          <w:color w:val="242422"/>
        </w:rPr>
        <w:t>La source de données depuis l'interface (backend/data_source.py)</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Ollama (local)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Chemin</w:t>
            </w:r>
          </w:p>
        </w:tc>
        <w:tc>
          <w:tcPr>
            <w:tcW w:type="dxa" w:w="4706"/>
            <w:shd w:fill="F2405A"/>
          </w:tcPr>
          <w:p>
            <w:r/>
            <w:r>
              <w:rPr>
                <w:b/>
                <w:color w:val="FFFFFF"/>
                <w:sz w:val="19"/>
              </w:rPr>
              <w:t>Contenu</w:t>
            </w:r>
          </w:p>
        </w:tc>
      </w:tr>
      <w:tr>
        <w:trPr>
          <w:cantSplit/>
        </w:trPr>
        <w:tc>
          <w:tcPr>
            <w:tcW w:type="dxa" w:w="4706"/>
          </w:tcPr>
          <w:p>
            <w:r/>
            <w:r>
              <w:rPr>
                <w:sz w:val="19"/>
              </w:rPr>
              <w:t>backend/main.py</w:t>
            </w:r>
          </w:p>
        </w:tc>
        <w:tc>
          <w:tcPr>
            <w:tcW w:type="dxa" w:w="4706"/>
          </w:tcPr>
          <w:p>
            <w:r/>
            <w:r>
              <w:rPr>
                <w:sz w:val="19"/>
              </w:rPr>
              <w:t>Application FastAPI, endpoints, câblage du scheduler.</w:t>
            </w:r>
          </w:p>
        </w:tc>
      </w:tr>
      <w:tr>
        <w:trPr>
          <w:cantSplit/>
        </w:trP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rPr>
          <w:cantSplit/>
        </w:trPr>
        <w:tc>
          <w:tcPr>
            <w:tcW w:type="dxa" w:w="4706"/>
          </w:tcPr>
          <w:p>
            <w:r/>
            <w:r>
              <w:rPr>
                <w:sz w:val="19"/>
              </w:rPr>
              <w:t>backend/llm.py</w:t>
            </w:r>
          </w:p>
        </w:tc>
        <w:tc>
          <w:tcPr>
            <w:tcW w:type="dxa" w:w="4706"/>
          </w:tcPr>
          <w:p>
            <w:r/>
            <w:r>
              <w:rPr>
                <w:sz w:val="19"/>
              </w:rPr>
              <w:t>Appel LLM, validation Pydantic, résolution des filtres, anti-hallucination.</w:t>
            </w:r>
          </w:p>
        </w:tc>
      </w:tr>
      <w:tr>
        <w:trPr>
          <w:cantSplit/>
        </w:trP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rPr>
          <w:cantSplit/>
        </w:trPr>
        <w:tc>
          <w:tcPr>
            <w:tcW w:type="dxa" w:w="4706"/>
          </w:tcPr>
          <w:p>
            <w:r/>
            <w:r>
              <w:rPr>
                <w:sz w:val="19"/>
              </w:rPr>
              <w:t>backend/db_layer.py</w:t>
            </w:r>
          </w:p>
        </w:tc>
        <w:tc>
          <w:tcPr>
            <w:tcW w:type="dxa" w:w="4706"/>
          </w:tcPr>
          <w:p>
            <w:r/>
            <w:r>
              <w:rPr>
                <w:sz w:val="19"/>
              </w:rPr>
              <w:t>Requêtage pandas du DataFrame (données du message texte).</w:t>
            </w:r>
          </w:p>
        </w:tc>
      </w:tr>
      <w:tr>
        <w:trPr>
          <w:cantSplit/>
        </w:trP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rPr>
          <w:cantSplit/>
        </w:trPr>
        <w:tc>
          <w:tcPr>
            <w:tcW w:type="dxa" w:w="4706"/>
          </w:tcPr>
          <w:p>
            <w:r/>
            <w:r>
              <w:rPr>
                <w:sz w:val="19"/>
              </w:rPr>
              <w:t>backend/sql_builder.py</w:t>
            </w:r>
          </w:p>
        </w:tc>
        <w:tc>
          <w:tcPr>
            <w:tcW w:type="dxa" w:w="4706"/>
          </w:tcPr>
          <w:p>
            <w:r/>
            <w:r>
              <w:rPr>
                <w:sz w:val="19"/>
              </w:rPr>
              <w:t>Intention validée -&gt; SQL DuckDB. Jamais écrit par le LLM.</w:t>
            </w:r>
          </w:p>
        </w:tc>
      </w:tr>
      <w:tr>
        <w:trPr>
          <w:cantSplit/>
        </w:trP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rPr>
          <w:cantSplit/>
        </w:trPr>
        <w:tc>
          <w:tcPr>
            <w:tcW w:type="dxa" w:w="4706"/>
          </w:tcPr>
          <w:p>
            <w:r/>
            <w:r>
              <w:rPr>
                <w:sz w:val="19"/>
              </w:rPr>
              <w:t>backend/duckdb_export.py</w:t>
            </w:r>
          </w:p>
        </w:tc>
        <w:tc>
          <w:tcPr>
            <w:tcW w:type="dxa" w:w="4706"/>
          </w:tcPr>
          <w:p>
            <w:r/>
            <w:r>
              <w:rPr>
                <w:sz w:val="19"/>
              </w:rPr>
              <w:t>Projection du DataFrame vers le fichier DuckDB interrogé par DAC.</w:t>
            </w:r>
          </w:p>
        </w:tc>
      </w:tr>
      <w:tr>
        <w:trPr>
          <w:cantSplit/>
        </w:trP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rPr>
          <w:cantSplit/>
        </w:trPr>
        <w:tc>
          <w:tcPr>
            <w:tcW w:type="dxa" w:w="4706"/>
          </w:tcPr>
          <w:p>
            <w:r/>
            <w:r>
              <w:rPr>
                <w:sz w:val="19"/>
              </w:rPr>
              <w:t>backend/alerts.py</w:t>
            </w:r>
          </w:p>
        </w:tc>
        <w:tc>
          <w:tcPr>
            <w:tcW w:type="dxa" w:w="4706"/>
          </w:tcPr>
          <w:p>
            <w:r/>
            <w:r>
              <w:rPr>
                <w:sz w:val="19"/>
              </w:rPr>
              <w:t>Opportunités à échéance proche, envoi de l'email d'alerte.</w:t>
            </w:r>
          </w:p>
        </w:tc>
      </w:tr>
      <w:tr>
        <w:trPr>
          <w:cantSplit/>
        </w:trP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rPr>
          <w:cantSplit/>
        </w:trPr>
        <w:tc>
          <w:tcPr>
            <w:tcW w:type="dxa" w:w="4706"/>
          </w:tcPr>
          <w:p>
            <w:r/>
            <w:r>
              <w:rPr>
                <w:sz w:val="19"/>
              </w:rPr>
              <w:t>backend/data_quality.py</w:t>
            </w:r>
          </w:p>
        </w:tc>
        <w:tc>
          <w:tcPr>
            <w:tcW w:type="dxa" w:w="4706"/>
          </w:tcPr>
          <w:p>
            <w:r/>
            <w:r>
              <w:rPr>
                <w:sz w:val="19"/>
              </w:rPr>
              <w:t>Rapport des lignes rejetées et des valeurs manquantes.</w:t>
            </w:r>
          </w:p>
        </w:tc>
      </w:tr>
      <w:tr>
        <w:trPr>
          <w:cantSplit/>
        </w:trPr>
        <w:tc>
          <w:tcPr>
            <w:tcW w:type="dxa" w:w="4706"/>
            <w:shd w:fill="FAFAF8"/>
          </w:tcPr>
          <w:p>
            <w:r/>
            <w:r>
              <w:rPr>
                <w:sz w:val="19"/>
              </w:rPr>
              <w:t>backend/data_source.py</w:t>
            </w:r>
          </w:p>
        </w:tc>
        <w:tc>
          <w:tcPr>
            <w:tcW w:type="dxa" w:w="4706"/>
            <w:shd w:fill="FAFAF8"/>
          </w:tcPr>
          <w:p>
            <w:r/>
            <w:r>
              <w:rPr>
                <w:sz w:val="19"/>
              </w:rPr>
              <w:t>Santé des données, liste des onglets, test et liaison d'une feuille depuis l'interface.</w:t>
            </w:r>
          </w:p>
        </w:tc>
      </w:tr>
      <w:tr>
        <w:trPr>
          <w:cantSplit/>
        </w:trPr>
        <w:tc>
          <w:tcPr>
            <w:tcW w:type="dxa" w:w="4706"/>
          </w:tcPr>
          <w:p>
            <w:r/>
            <w:r>
              <w:rPr>
                <w:sz w:val="19"/>
              </w:rPr>
              <w:t>scripts/stop.bat, stop.ps1</w:t>
            </w:r>
          </w:p>
        </w:tc>
        <w:tc>
          <w:tcPr>
            <w:tcW w:type="dxa" w:w="4706"/>
          </w:tcPr>
          <w:p>
            <w:r/>
            <w:r>
              <w:rPr>
                <w:sz w:val="19"/>
              </w:rPr>
              <w:t>Raccourci « Arrêter » : conteneurs, ports et mémoire du modèle.</w:t>
            </w:r>
          </w:p>
        </w:tc>
      </w:tr>
      <w:tr>
        <w:trPr>
          <w:cantSplit/>
        </w:trP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rPr>
          <w:cantSplit/>
        </w:trP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rPr>
          <w:cantSplit/>
        </w:trP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21 widgets, même générateur.</w:t>
            </w:r>
          </w:p>
        </w:tc>
      </w:tr>
      <w:tr>
        <w:trPr>
          <w:cantSplit/>
        </w:trP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rPr>
          <w:cantSplit/>
        </w:trP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rPr>
          <w:cantSplit/>
        </w:trPr>
        <w:tc>
          <w:tcPr>
            <w:tcW w:type="dxa" w:w="4706"/>
          </w:tcPr>
          <w:p>
            <w:r/>
            <w:r>
              <w:rPr>
                <w:sz w:val="19"/>
              </w:rPr>
              <w:t>dac/dashboards/_analyse_*.yml</w:t>
            </w:r>
          </w:p>
        </w:tc>
        <w:tc>
          <w:tcPr>
            <w:tcW w:type="dxa" w:w="4706"/>
          </w:tcPr>
          <w:p>
            <w:r/>
            <w:r>
              <w:rPr>
                <w:sz w:val="19"/>
              </w:rPr>
              <w:t>Instantané figé par question, pour les rouvrir (éphémère, hors suivi git).</w:t>
            </w:r>
          </w:p>
        </w:tc>
      </w:tr>
      <w:tr>
        <w:trPr>
          <w:cantSplit/>
        </w:trPr>
        <w:tc>
          <w:tcPr>
            <w:tcW w:type="dxa" w:w="4706"/>
            <w:shd w:fill="FAFAF8"/>
          </w:tcPr>
          <w:p>
            <w:r/>
            <w:r>
              <w:rPr>
                <w:sz w:val="19"/>
              </w:rPr>
              <w:t>frontend/src/</w:t>
            </w:r>
          </w:p>
        </w:tc>
        <w:tc>
          <w:tcPr>
            <w:tcW w:type="dxa" w:w="4706"/>
            <w:shd w:fill="FAFAF8"/>
          </w:tcPr>
          <w:p>
            <w:r/>
            <w:r>
              <w:rPr>
                <w:sz w:val="19"/>
              </w:rPr>
              <w:t>Application Vite + React (chat, iframe DAC, hooks, styles).</w:t>
            </w:r>
          </w:p>
        </w:tc>
      </w:tr>
      <w:tr>
        <w:trPr>
          <w:cantSplit/>
        </w:trPr>
        <w:tc>
          <w:tcPr>
            <w:tcW w:type="dxa" w:w="4706"/>
          </w:tcPr>
          <w:p>
            <w:r/>
            <w:r>
              <w:rPr>
                <w:sz w:val="19"/>
              </w:rPr>
              <w:t>tests/</w:t>
            </w:r>
          </w:p>
        </w:tc>
        <w:tc>
          <w:tcPr>
            <w:tcW w:type="dxa" w:w="4706"/>
          </w:tcPr>
          <w:p>
            <w:r/>
            <w:r>
              <w:rPr>
                <w:sz w:val="19"/>
              </w:rPr>
              <w:t>Suite pytest — 680 tests, aucune dépendance réseau ni données réelles.</w:t>
            </w:r>
          </w:p>
        </w:tc>
      </w:tr>
      <w:tr>
        <w:trPr>
          <w:cantSplit/>
        </w:trP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rPr>
          <w:cantSplit/>
        </w:trPr>
        <w:tc>
          <w:tcPr>
            <w:tcW w:type="dxa" w:w="4706"/>
          </w:tcPr>
          <w:p>
            <w:r/>
            <w:r>
              <w:rPr>
                <w:sz w:val="19"/>
              </w:rPr>
              <w:t>Documentation/reports/</w:t>
            </w:r>
          </w:p>
        </w:tc>
        <w:tc>
          <w:tcPr>
            <w:tcW w:type="dxa" w:w="4706"/>
          </w:tcPr>
          <w:p>
            <w:r/>
            <w:r>
              <w:rPr>
                <w:sz w:val="19"/>
              </w:rPr>
              <w:t>Ce guide, le rapport, le guide d'installation et leur générateur (generate_docs.py).</w:t>
            </w:r>
          </w:p>
        </w:tc>
      </w:tr>
      <w:tr>
        <w:trPr>
          <w:cantSplit/>
        </w:trPr>
        <w:tc>
          <w:tcPr>
            <w:tcW w:type="dxa" w:w="4706"/>
            <w:shd w:fill="FAFAF8"/>
          </w:tcPr>
          <w:p>
            <w:r/>
            <w:r>
              <w:rPr>
                <w:sz w:val="19"/>
              </w:rPr>
              <w:t>Documentation/PROGRESS.md</w:t>
            </w:r>
          </w:p>
        </w:tc>
        <w:tc>
          <w:tcPr>
            <w:tcW w:type="dxa" w:w="4706"/>
            <w:shd w:fill="FAFAF8"/>
          </w:tcPr>
          <w:p>
            <w:r/>
            <w:r>
              <w:rPr>
                <w:sz w:val="19"/>
              </w:rPr>
              <w:t>Journal de développement : chaque phase livrée, ses choix et ses vérifications.</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en lecture seule via son lien d'export public (aucune clé API, aucun compte de service, aucun fichier JSON),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rPr>
          <w:cantSplit/>
        </w:trP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rPr>
          <w:cantSplit/>
        </w:trP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rPr>
          <w:cantSplit/>
        </w:trP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rPr>
          <w:cantSplit/>
        </w:trP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rPr>
          <w:cantSplit/>
        </w:trP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rPr>
          <w:cantSplit/>
        </w:trP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rPr>
          <w:cantSplit/>
        </w:trP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rPr>
          <w:cantSplit/>
        </w:trP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rPr>
          <w:cantSplit/>
        </w:trP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rPr>
          <w:cantSplit/>
        </w:trP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rPr>
          <w:cantSplit/>
        </w:trP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rPr>
          <w:cantSplit/>
        </w:trP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rPr>
          <w:cantSplit/>
        </w:trP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Aucune écriture retour dans le Sheet</w:t>
      </w:r>
    </w:p>
    <w:p>
      <w:r>
        <w:rPr>
          <w:b w:val="0"/>
          <w:i w:val="0"/>
        </w:rPr>
        <w:t>L'application ne fait que LIRE le Sheet. Les versions antérieures y réécrivaient l'identifiant des nouvelles lignes et les quatre colonnes calculées, en un seul appel groupé ; cette écriture a disparu avec le passage au lien d'export public (section 12.3), qui ne la permet de toute façon pas. Une ligne sans identifiant en reçoit un en mémoire à chaque chargement, jamais renvoyé vers Google, et les colonnes calculées ne vivent que dans les tableaux de bord.</w:t>
      </w:r>
    </w:p>
    <w:p>
      <w:r>
        <w:rPr>
          <w:b w:val="0"/>
          <w:i w:val="0"/>
        </w:rPr>
        <w:t>Conséquence voulue : aucune suppression ni modification possible du côté de l'application.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au modèle local (Ollama,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Widget</w:t>
            </w:r>
          </w:p>
        </w:tc>
        <w:tc>
          <w:tcPr>
            <w:tcW w:type="dxa" w:w="4706"/>
            <w:shd w:fill="F2405A"/>
          </w:tcPr>
          <w:p>
            <w:r/>
            <w:r>
              <w:rPr>
                <w:b/>
                <w:color w:val="FFFFFF"/>
                <w:sz w:val="19"/>
              </w:rPr>
              <w:t>Rôle</w:t>
            </w:r>
          </w:p>
        </w:tc>
      </w:tr>
      <w:tr>
        <w:trPr>
          <w:cantSplit/>
        </w:trP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rPr>
          <w:cantSplit/>
        </w:trPr>
        <w:tc>
          <w:tcPr>
            <w:tcW w:type="dxa" w:w="4706"/>
            <w:shd w:fill="FAFAF8"/>
          </w:tcPr>
          <w:p>
            <w:r/>
            <w:r>
              <w:rPr>
                <w:sz w:val="19"/>
              </w:rPr>
              <w:t>Graphique principal</w:t>
            </w:r>
          </w:p>
        </w:tc>
        <w:tc>
          <w:tcPr>
            <w:tcW w:type="dxa" w:w="4706"/>
            <w:shd w:fill="FAFAF8"/>
          </w:tcPr>
          <w:p>
            <w:r/>
            <w:r>
              <w:rPr>
                <w:sz w:val="19"/>
              </w:rPr>
              <w:t>Répond directement à la question posée.</w:t>
            </w:r>
          </w:p>
        </w:tc>
      </w:tr>
      <w:tr>
        <w:trPr>
          <w:cantSplit/>
        </w:trPr>
        <w:tc>
          <w:tcPr>
            <w:tcW w:type="dxa" w:w="4706"/>
          </w:tcPr>
          <w:p>
            <w:r/>
            <w:r>
              <w:rPr>
                <w:sz w:val="19"/>
              </w:rPr>
              <w:t>Angle complémentaire</w:t>
            </w:r>
          </w:p>
        </w:tc>
        <w:tc>
          <w:tcPr>
            <w:tcW w:type="dxa" w:w="4706"/>
          </w:tcPr>
          <w:p>
            <w:r/>
            <w:r>
              <w:rPr>
                <w:sz w:val="19"/>
              </w:rPr>
              <w:t>La même métrique sur une autre dimension.</w:t>
            </w:r>
          </w:p>
        </w:tc>
      </w:tr>
      <w:tr>
        <w:trPr>
          <w:cantSplit/>
        </w:trPr>
        <w:tc>
          <w:tcPr>
            <w:tcW w:type="dxa" w:w="4706"/>
            <w:shd w:fill="FAFAF8"/>
          </w:tcPr>
          <w:p>
            <w:r/>
            <w:r>
              <w:rPr>
                <w:sz w:val="19"/>
              </w:rPr>
              <w:t>Pipeline commercial</w:t>
            </w:r>
          </w:p>
        </w:tc>
        <w:tc>
          <w:tcPr>
            <w:tcW w:type="dxa" w:w="4706"/>
            <w:shd w:fill="FAFAF8"/>
          </w:tcPr>
          <w:p>
            <w:r/>
            <w:r>
              <w:rPr>
                <w:sz w:val="19"/>
              </w:rPr>
              <w:t>L'entonnoir des statuts sur ce périmètre.</w:t>
            </w:r>
          </w:p>
        </w:tc>
      </w:tr>
      <w:tr>
        <w:trPr>
          <w:cantSplit/>
        </w:trP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rPr>
          <w:cantSplit/>
        </w:trP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rPr>
          <w:cantSplit/>
        </w:trP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rPr>
          <w:cantSplit/>
        </w:trP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rPr>
          <w:cantSplit/>
        </w:trP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rPr>
          <w:cantSplit/>
        </w:trP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rPr>
          <w:cantSplit/>
        </w:trP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rPr>
          <w:cantSplit/>
        </w:trP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rPr>
          <w:cantSplit/>
        </w:trP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aucune, lien d'export public</w:t>
      </w:r>
    </w:p>
    <w:p>
      <w:r>
        <w:rPr>
          <w:b w:val="0"/>
          <w:i w:val="0"/>
        </w:rPr>
        <w:t>L'application ne lit plus le Sheet qu'en LECTURE — elle n'y écrit plus les identifiants des nouvelles lignes ni les colonnes calculées, qui restent affichées dans les tableaux de bord sans jamais être renvoyées vers Google (section 4.3). Aucun identifiant n'est donc nécessaire : un appel HTTP vers le lien d'export CSV public du Sheet (`/gviz/tq?tqx=out:csv`, le même mécanisme que « Fichier → Télécharger → CSV »), sans clé API, sans fichier de compte de service, sans OAuth. Contrepartie assumée : le Sheet doit être partagé en Lecteur, « toute personne disposant du lien » — et un nom d'onglet incorrect ne produit AUCUNE erreur, Google retombe silencieusement sur le premier onglet de la feuille (mitigé par la vérification des colonnes attendues juste après la lecture, seul filet de sécurité disponible ici).</w:t>
      </w:r>
    </w:p>
    <w:p>
      <w:r>
        <w:rPr>
          <w:b w:val="0"/>
          <w:i w:val="0"/>
        </w:rPr>
        <w:t>Ce choix a remplacé une authentification par clé API Sheets v4 restreinte (elle-même remplaçante d'un compte de service, fichier JSON partagé en Éditeur sur le Sheet cible) — chaque étape supprimant une pièce d'identité de plus à faire circuler, la dernière ne demandant plus rien du tout côté Google Cloud Console. L'appel HTTP au lien d'export n'a rien à mettre en cache entre deux chargements, contrairement au client authentifié qu'il remplace.</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La lecture du Sheet (section 12.3) ne passe par aucun identifiant à protéger : le lien d'export public n'existe que parce que le Sheet est déjà partagé « toute personne disposant du lien », exactement l'inverse d'un secret.</w:t>
      </w:r>
    </w:p>
    <w:p>
      <w:pPr>
        <w:keepNext/>
        <w:spacing w:before="400" w:after="200"/>
        <w:pBdr>
          <w:bottom w:val="single" w:sz="18" w:space="4" w:color="D42A45"/>
        </w:pBdr>
      </w:pPr>
      <w:r>
        <w:rPr>
          <w:b/>
          <w:color w:val="F2405A"/>
          <w:sz w:val="36"/>
        </w:rPr>
        <w:t>15. Tests automatisés</w:t>
      </w:r>
    </w:p>
    <w:p>
      <w:r>
        <w:rPr>
          <w:b w:val="0"/>
          <w:i w:val="0"/>
        </w:rPr>
        <w:t>680 tests pytest, sans dépendance réseau ni données réelles : le client du modèle local (Ollama) et l'appel HTTP au lien d'export du Sheet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au modèle local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rPr>
          <w:cantSplit/>
        </w:trP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rPr>
          <w:cantSplit/>
        </w:trP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rPr>
          <w:cantSplit/>
        </w:trP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rPr>
          <w:cantSplit/>
        </w:trP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rPr>
          <w:cantSplit/>
        </w:trP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rPr>
          <w:cantSplit/>
        </w:trP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rPr>
          <w:cantSplit/>
        </w:trP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rPr>
          <w:cantSplit/>
        </w:trP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rPr>
          <w:cantSplit/>
        </w:trP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rPr>
          <w:cantSplit/>
        </w:trP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rPr>
          <w:cantSplit/>
        </w:trP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Sur le poste du développeur, l'application se lance de deux façons, et se tromper est silencieux. Un raccourci de Bureau existe pour chacune (scripts/create_shortcut.ps1 les crée, avec un troisième pour Docker — section 19, le mode à utiliser sur tout autre poste).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rPr>
          <w:cantSplit/>
        </w:trP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rPr>
          <w:cantSplit/>
        </w:trP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rPr>
          <w:cantSplit/>
        </w:trP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rPr>
          <w:cantSplit/>
        </w:trP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rPr>
          <w:cantSplit/>
        </w:trP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rPr>
          <w:cantSplit/>
        </w:trP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rafraîchissements concurrents des données.</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Ollama, le fournisseur actuel (local, remplaçant Gemini — section 2.2), supporte aussi les sorties structurées strictes (un JSON Schema, pas seulement le mode "json" libre utilisé aujourd'hui), mais l'app garde volontairement l'architecture JSON libre héritée des fournisseurs précédents (Groq, Gemini)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Un thème DAC est fixé au lancement du serveur : le mode sombre des tableaux de bord demande donc un SECOND serveur DAC (port 8322), qui double la mémoire et les requêtes de démarrage à froid. S'il ne tourne pas, l'affichage reprend le thème clair plutôt que de rester vide.</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p>
      <w:pPr>
        <w:keepNext/>
        <w:spacing w:before="400" w:after="200"/>
        <w:pBdr>
          <w:bottom w:val="single" w:sz="18" w:space="4" w:color="D42A45"/>
        </w:pBdr>
      </w:pPr>
      <w:r>
        <w:rPr>
          <w:b/>
          <w:color w:val="F2405A"/>
          <w:sz w:val="36"/>
        </w:rPr>
        <w:t>19. Déploiement sur un poste neuf (Docker, INSTALLER.bat)</w:t>
      </w:r>
    </w:p>
    <w:p>
      <w:r>
        <w:rPr>
          <w:b w:val="0"/>
          <w:i w:val="0"/>
        </w:rPr>
        <w:t>Une troisième façon de lancer l'application, et la seule recommandée sur un autre poste que celui du développeur : trois conteneurs (backend, dac-light, dac-dark) plus un conteneur ponctuel (frontend-build) qui compile l'interface à chaque démarrage. Le modèle de langage, lui, tourne sur la machine hôte, jamais dans un conteneur. Tout est orchestré par INSTALLER.bat, en sept étapes idempotentes : chacune vérifie d'abord si elle est déjà faite.</w:t>
      </w:r>
    </w:p>
    <w:tbl>
      <w:tblPr>
        <w:tblStyle w:val="TableGrid"/>
        <w:tblW w:type="auto" w:w="0"/>
        <w:jc w:val="center"/>
        <w:tblLook w:firstColumn="1" w:firstRow="1" w:lastColumn="0" w:lastRow="0" w:noHBand="0" w:noVBand="1" w:val="04A0"/>
      </w:tblPr>
      <w:tblGrid>
        <w:gridCol w:w="3137"/>
        <w:gridCol w:w="3137"/>
        <w:gridCol w:w="3137"/>
      </w:tblGrid>
      <w:tr>
        <w:trPr>
          <w:cantSplit/>
        </w:trPr>
        <w:tc>
          <w:tcPr>
            <w:tcW w:type="dxa" w:w="3137"/>
            <w:shd w:fill="F2405A"/>
          </w:tcPr>
          <w:p>
            <w:r/>
            <w:r>
              <w:rPr>
                <w:b/>
                <w:color w:val="FFFFFF"/>
                <w:sz w:val="19"/>
              </w:rPr>
              <w:t>Étape</w:t>
            </w:r>
          </w:p>
        </w:tc>
        <w:tc>
          <w:tcPr>
            <w:tcW w:type="dxa" w:w="3137"/>
            <w:shd w:fill="F2405A"/>
          </w:tcPr>
          <w:p>
            <w:r/>
            <w:r>
              <w:rPr>
                <w:b/>
                <w:color w:val="FFFFFF"/>
                <w:sz w:val="19"/>
              </w:rPr>
              <w:t>Ce qu'elle fait</w:t>
            </w:r>
          </w:p>
        </w:tc>
        <w:tc>
          <w:tcPr>
            <w:tcW w:type="dxa" w:w="3137"/>
            <w:shd w:fill="F2405A"/>
          </w:tcPr>
          <w:p>
            <w:r/>
            <w:r>
              <w:rPr>
                <w:b/>
                <w:color w:val="FFFFFF"/>
                <w:sz w:val="19"/>
              </w:rPr>
              <w:t>Point délicat traité</w:t>
            </w:r>
          </w:p>
        </w:tc>
      </w:tr>
      <w:tr>
        <w:trPr>
          <w:cantSplit/>
        </w:trPr>
        <w:tc>
          <w:tcPr>
            <w:tcW w:type="dxa" w:w="3137"/>
          </w:tcPr>
          <w:p>
            <w:r/>
            <w:r>
              <w:rPr>
                <w:sz w:val="19"/>
              </w:rPr>
              <w:t>1/7 Dossier</w:t>
            </w:r>
          </w:p>
        </w:tc>
        <w:tc>
          <w:tcPr>
            <w:tcW w:type="dxa" w:w="3137"/>
          </w:tcPr>
          <w:p>
            <w:r/>
            <w:r>
              <w:rPr>
                <w:sz w:val="19"/>
              </w:rPr>
              <w:t>Exige un .git ; affiche la RAM.</w:t>
            </w:r>
          </w:p>
        </w:tc>
        <w:tc>
          <w:tcPr>
            <w:tcW w:type="dxa" w:w="3137"/>
          </w:tcPr>
          <w:p>
            <w:r/>
            <w:r>
              <w:rPr>
                <w:sz w:val="19"/>
              </w:rPr>
              <w:t>bruin refuse toute requête sans racine de dépôt Git : un « Download ZIP » laisserait tous les tableaux de bord vides, sans erreur.</w:t>
            </w:r>
          </w:p>
        </w:tc>
      </w:tr>
      <w:tr>
        <w:trPr>
          <w:cantSplit/>
        </w:trPr>
        <w:tc>
          <w:tcPr>
            <w:tcW w:type="dxa" w:w="3137"/>
            <w:shd w:fill="FAFAF8"/>
          </w:tcPr>
          <w:p>
            <w:r/>
            <w:r>
              <w:rPr>
                <w:sz w:val="19"/>
              </w:rPr>
              <w:t>2/7 Docker</w:t>
            </w:r>
          </w:p>
        </w:tc>
        <w:tc>
          <w:tcPr>
            <w:tcW w:type="dxa" w:w="3137"/>
            <w:shd w:fill="FAFAF8"/>
          </w:tcPr>
          <w:p>
            <w:r/>
            <w:r>
              <w:rPr>
                <w:sz w:val="19"/>
              </w:rPr>
              <w:t>Installe Docker Desktop s'il manque, puis s'arrête volontairement (redémarrage, premier lancement).</w:t>
            </w:r>
          </w:p>
        </w:tc>
        <w:tc>
          <w:tcPr>
            <w:tcW w:type="dxa" w:w="3137"/>
            <w:shd w:fill="FAFAF8"/>
          </w:tcPr>
          <w:p>
            <w:r/>
            <w:r>
              <w:rPr>
                <w:sz w:val="19"/>
              </w:rPr>
              <w:t>winget peut manquer (Windows neuf, Store bloqué) : repli sur l'installeur officiel téléchargé par curl ; %20 échappé en %%20 dans l'URL.</w:t>
            </w:r>
          </w:p>
        </w:tc>
      </w:tr>
      <w:tr>
        <w:trPr>
          <w:cantSplit/>
        </w:trPr>
        <w:tc>
          <w:tcPr>
            <w:tcW w:type="dxa" w:w="3137"/>
          </w:tcPr>
          <w:p>
            <w:r/>
            <w:r>
              <w:rPr>
                <w:sz w:val="19"/>
              </w:rPr>
              <w:t>3/7 Démarrage</w:t>
            </w:r>
          </w:p>
        </w:tc>
        <w:tc>
          <w:tcPr>
            <w:tcW w:type="dxa" w:w="3137"/>
          </w:tcPr>
          <w:p>
            <w:r/>
            <w:r>
              <w:rPr>
                <w:sz w:val="19"/>
              </w:rPr>
              <w:t>Attend jusqu'à une minute que Docker réponde.</w:t>
            </w:r>
          </w:p>
        </w:tc>
        <w:tc>
          <w:tcPr>
            <w:tcW w:type="dxa" w:w="3137"/>
          </w:tcPr>
          <w:p>
            <w:r/>
            <w:r>
              <w:rPr>
                <w:sz w:val="19"/>
              </w:rPr>
              <w:t>Distingue WSL2 absent (wsl --install) de Docker simplement pas lancé.</w:t>
            </w:r>
          </w:p>
        </w:tc>
      </w:tr>
      <w:tr>
        <w:trPr>
          <w:cantSplit/>
        </w:trPr>
        <w:tc>
          <w:tcPr>
            <w:tcW w:type="dxa" w:w="3137"/>
            <w:shd w:fill="FAFAF8"/>
          </w:tcPr>
          <w:p>
            <w:r/>
            <w:r>
              <w:rPr>
                <w:sz w:val="19"/>
              </w:rPr>
              <w:t>4/7 Ollama</w:t>
            </w:r>
          </w:p>
        </w:tc>
        <w:tc>
          <w:tcPr>
            <w:tcW w:type="dxa" w:w="3137"/>
            <w:shd w:fill="FAFAF8"/>
          </w:tcPr>
          <w:p>
            <w:r/>
            <w:r>
              <w:rPr>
                <w:sz w:val="19"/>
              </w:rPr>
              <w:t>Installe, démarre le service, télécharge le modèle.</w:t>
            </w:r>
          </w:p>
        </w:tc>
        <w:tc>
          <w:tcPr>
            <w:tcW w:type="dxa" w:w="3137"/>
            <w:shd w:fill="FAFAF8"/>
          </w:tcPr>
          <w:p>
            <w:r/>
            <w:r>
              <w:rPr>
                <w:sz w:val="19"/>
              </w:rPr>
              <w:t>PATH de la fenêtre non rafraîchi après installation : exécutable visé à son emplacement connu ; options Inno Setup vérifiées sur l'exécutable.</w:t>
            </w:r>
          </w:p>
        </w:tc>
      </w:tr>
      <w:tr>
        <w:trPr>
          <w:cantSplit/>
        </w:trPr>
        <w:tc>
          <w:tcPr>
            <w:tcW w:type="dxa" w:w="3137"/>
          </w:tcPr>
          <w:p>
            <w:r/>
            <w:r>
              <w:rPr>
                <w:sz w:val="19"/>
              </w:rPr>
              <w:t>5/7 .env</w:t>
            </w:r>
          </w:p>
        </w:tc>
        <w:tc>
          <w:tcPr>
            <w:tcW w:type="dxa" w:w="3137"/>
          </w:tcPr>
          <w:p>
            <w:r/>
            <w:r>
              <w:rPr>
                <w:sz w:val="19"/>
              </w:rPr>
              <w:t>Demande le lien de la feuille et l'onglet (set /p).</w:t>
            </w:r>
          </w:p>
        </w:tc>
        <w:tc>
          <w:tcPr>
            <w:tcW w:type="dxa" w:w="3137"/>
          </w:tcPr>
          <w:p>
            <w:r/>
            <w:r>
              <w:rPr>
                <w:sz w:val="19"/>
              </w:rPr>
              <w:t>Écriture ligne par ligne par scripts/maj_env.ps1, sans BOM ; un lien complet (?, &amp;, #) passe intact jusqu'au conteneur.</w:t>
            </w:r>
          </w:p>
        </w:tc>
      </w:tr>
      <w:tr>
        <w:trPr>
          <w:cantSplit/>
        </w:trPr>
        <w:tc>
          <w:tcPr>
            <w:tcW w:type="dxa" w:w="3137"/>
            <w:shd w:fill="FAFAF8"/>
          </w:tcPr>
          <w:p>
            <w:r/>
            <w:r>
              <w:rPr>
                <w:sz w:val="19"/>
              </w:rPr>
              <w:t>6/7 Build</w:t>
            </w:r>
          </w:p>
        </w:tc>
        <w:tc>
          <w:tcPr>
            <w:tcW w:type="dxa" w:w="3137"/>
            <w:shd w:fill="FAFAF8"/>
          </w:tcPr>
          <w:p>
            <w:r/>
            <w:r>
              <w:rPr>
                <w:sz w:val="19"/>
              </w:rPr>
              <w:t>Vérifie les ports 8000/8321/8322, docker compose up -d --build.</w:t>
            </w:r>
          </w:p>
        </w:tc>
        <w:tc>
          <w:tcPr>
            <w:tcW w:type="dxa" w:w="3137"/>
            <w:shd w:fill="FAFAF8"/>
          </w:tcPr>
          <w:p>
            <w:r/>
            <w:r>
              <w:rPr>
                <w:sz w:val="19"/>
              </w:rPr>
              <w:t>Un port déjà pris est signalé avant le message de bas niveau de Docker.</w:t>
            </w:r>
          </w:p>
        </w:tc>
      </w:tr>
      <w:tr>
        <w:trPr>
          <w:cantSplit/>
        </w:trPr>
        <w:tc>
          <w:tcPr>
            <w:tcW w:type="dxa" w:w="3137"/>
          </w:tcPr>
          <w:p>
            <w:r/>
            <w:r>
              <w:rPr>
                <w:sz w:val="19"/>
              </w:rPr>
              <w:t>7/7 Finition</w:t>
            </w:r>
          </w:p>
        </w:tc>
        <w:tc>
          <w:tcPr>
            <w:tcW w:type="dxa" w:w="3137"/>
          </w:tcPr>
          <w:p>
            <w:r/>
            <w:r>
              <w:rPr>
                <w:sz w:val="19"/>
              </w:rPr>
              <w:t>Raccourcis, attente active de /health, navigateur, test fonctionnel dans le conteneur.</w:t>
            </w:r>
          </w:p>
        </w:tc>
        <w:tc>
          <w:tcPr>
            <w:tcW w:type="dxa" w:w="3137"/>
          </w:tcPr>
          <w:p>
            <w:r/>
            <w:r>
              <w:rPr>
                <w:sz w:val="19"/>
              </w:rPr>
              <w:t>TEST_DAC_URL=http://dac-light:8321 : 127.0.0.1 désignerait le conteneur backend lui-même.</w:t>
            </w:r>
          </w:p>
        </w:tc>
      </w:tr>
    </w:tbl>
    <w:p/>
    <w:p>
      <w:r>
        <w:rPr>
          <w:b w:val="0"/>
          <w:i w:val="0"/>
        </w:rPr>
        <w:t>Trois choix de docker-compose.yml portent l'essentiel de la fiabilité. Un montage unique du dépôt (.:/app) : os.replace, utilisé pour écrire les tableaux de bord de façon atomique, échoue en EXDEV entre deux montages distincts, même sur le même disque. Deux adresses par serveur DAC : le nom de service pour le backend, 127.0.0.1 pour le navigateur de l'hôte. Et OLLAMA_HOST forcé vers host.docker.internal, quel que soit le .env.</w:t>
      </w:r>
    </w:p>
    <w:p>
      <w:pPr>
        <w:keepNext/>
        <w:spacing w:before="280" w:after="120"/>
      </w:pPr>
      <w:r>
        <w:rPr>
          <w:b/>
          <w:color w:val="242422"/>
          <w:sz w:val="27"/>
        </w:rPr>
        <w:t>19.1 Vérification de livraison du 5 octobre 2026</w:t>
      </w:r>
    </w:p>
    <w:p>
      <w:r>
        <w:rPr>
          <w:b w:val="0"/>
          <w:i w:val="0"/>
        </w:rPr>
        <w:t>Clone neuf de la branche Version_2 depuis GitHub ; docker compose build --no-cache --pull (6 min 40, sans erreur, bruin 0.11.771 et dac 0.25.0 téléchargés le jour même) ; INSTALLER.bat réel : 7/7 étapes, 15/15 contrôles, « TOUT EST JUSTE » ; génération réelle du modèle depuis le conteneur via host.docker.internal ; 633 tests au vert. Cette exécution a eu lieu sur un poste où Docker Desktop et Ollama étaient déjà installés ; les branches « poste nu » ont été exercées séparément sur un Windows 11 neuf en machine virtuelle.</w:t>
      </w:r>
    </w:p>
    <w:p>
      <w:pPr>
        <w:keepNext/>
        <w:spacing w:before="280" w:after="120"/>
      </w:pPr>
      <w:r>
        <w:rPr>
          <w:b/>
          <w:color w:val="242422"/>
          <w:sz w:val="27"/>
        </w:rPr>
        <w:t>19.2 Risques résiduels</w:t>
      </w:r>
    </w:p>
    <w:p>
      <w:pPr>
        <w:pStyle w:val="ListBullet"/>
      </w:pPr>
      <w:r>
        <w:t>bruin et dac ne sont pas épinglés : l'image installe leur dernière version à chaque construction. Une version incompatible publiée entre la vérification et l'installation passerait inaperçue jusqu'au test fonctionnel final, qui la signalerait.</w:t>
      </w:r>
    </w:p>
    <w:p>
      <w:pPr>
        <w:pStyle w:val="ListBullet"/>
      </w:pPr>
      <w:r>
        <w:t>L'image de base python:3.14-slim-bookworm suit les correctifs de Python 3.14 : risque faible, les dépendances étant épinglées.</w:t>
      </w:r>
    </w:p>
    <w:p>
      <w:pPr>
        <w:pStyle w:val="ListBullet"/>
      </w:pPr>
      <w:r>
        <w:t>La branche par défaut du dépôt (main) est une version antérieure, qui demande encore une clé Gemini : le clone doit viser Version_2.</w:t>
      </w:r>
    </w:p>
    <w:p>
      <w:pPr>
        <w:pStyle w:val="ListBullet"/>
      </w:pPr>
      <w:r>
        <w:t>Licence Docker Desktop payante au-delà de 250 personnes ou 10 M$ de chiffre d'affaires.</w:t>
      </w:r>
    </w:p>
    <w:p>
      <w:pPr>
        <w:pStyle w:val="ListBullet"/>
      </w:pPr>
      <w:r>
        <w:t>Un poste d'entreprise peut refuser les droits administrateur, la virtualisation ou l'accès aux sites de téléchargement : l'installateur le signale, mais ne peut pas le contourner.</w:t>
      </w:r>
    </w:p>
    <w:p>
      <w:pPr>
        <w:keepNext/>
        <w:spacing w:before="400" w:after="200"/>
        <w:pBdr>
          <w:bottom w:val="single" w:sz="18" w:space="4" w:color="D42A45"/>
        </w:pBdr>
      </w:pPr>
      <w:r>
        <w:rPr>
          <w:b/>
          <w:color w:val="F2405A"/>
          <w:sz w:val="36"/>
        </w:rPr>
        <w:t>20. La source de données depuis l'interface (backend/data_source.py)</w:t>
      </w:r>
    </w:p>
    <w:p>
      <w:r>
        <w:rPr>
          <w:b w:val="0"/>
          <w:i w:val="0"/>
        </w:rPr>
        <w:t>Deux boutons remplacent ce qui se faisait jusqu'ici en ligne de commande. « Santé des données » (GET /data/source) rapporte la dernière lecture — date, durée, feuille, cause en clair d'un échec — et ce qu'elle a produit : lignes, colonnes reconnues, cellules réparées, période, aperçu. Statut et données en service sont distingués : une lecture qui échoue garde les données précédentes, et l'écran le dit.</w:t>
      </w:r>
    </w:p>
    <w:p>
      <w:r>
        <w:rPr>
          <w:b w:val="0"/>
          <w:i w:val="0"/>
        </w:rPr>
        <w:t>« Lier une feuille Google » enchaîne trois routes : /data/source/onglets lit la liste des onglets dans la page publique « htmlview » de la feuille (Google n'en expose aucune autre sans clé d'API) ; /data/source/test lit la feuille candidate par analyser_valeurs, la même validation que la feuille en service, sans toucher au cache ; POST /data/source re-teste côté serveur, inscrit la feuille dans .env et recharge les données.</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shd w:fill="F2405A"/>
          </w:tcPr>
          <w:p>
            <w:r/>
            <w:r>
              <w:rPr>
                <w:b/>
                <w:color w:val="FFFFFF"/>
                <w:sz w:val="19"/>
              </w:rPr>
              <w:t>Piège</w:t>
            </w:r>
          </w:p>
        </w:tc>
        <w:tc>
          <w:tcPr>
            <w:tcW w:type="dxa" w:w="4706"/>
            <w:shd w:fill="F2405A"/>
          </w:tcPr>
          <w:p>
            <w:r/>
            <w:r>
              <w:rPr>
                <w:b/>
                <w:color w:val="FFFFFF"/>
                <w:sz w:val="19"/>
              </w:rPr>
              <w:t>Parade</w:t>
            </w:r>
          </w:p>
        </w:tc>
      </w:tr>
      <w:tr>
        <w:trPr>
          <w:cantSplit/>
        </w:trPr>
        <w:tc>
          <w:tcPr>
            <w:tcW w:type="dxa" w:w="4706"/>
          </w:tcPr>
          <w:p>
            <w:r/>
            <w:r>
              <w:rPr>
                <w:sz w:val="19"/>
              </w:rPr>
              <w:t>Google renvoie le premier onglet, sans erreur, pour un nom inexistant</w:t>
            </w:r>
          </w:p>
        </w:tc>
        <w:tc>
          <w:tcPr>
            <w:tcW w:type="dxa" w:w="4706"/>
          </w:tcPr>
          <w:p>
            <w:r/>
            <w:r>
              <w:rPr>
                <w:sz w:val="19"/>
              </w:rPr>
              <w:t>Onglet choisi dans la liste réelle ; sans liste, comparaison avec la réponse à un onglet impossible.</w:t>
            </w:r>
          </w:p>
        </w:tc>
      </w:tr>
      <w:tr>
        <w:trPr>
          <w:cantSplit/>
        </w:trPr>
        <w:tc>
          <w:tcPr>
            <w:tcW w:type="dxa" w:w="4706"/>
            <w:shd w:fill="FAFAF8"/>
          </w:tcPr>
          <w:p>
            <w:r/>
            <w:r>
              <w:rPr>
                <w:sz w:val="19"/>
              </w:rPr>
              <w:t>Sous Docker, l'environnement du conteneur est figé à sa création</w:t>
            </w:r>
          </w:p>
        </w:tc>
        <w:tc>
          <w:tcPr>
            <w:tcW w:type="dxa" w:w="4706"/>
            <w:shd w:fill="FAFAF8"/>
          </w:tcPr>
          <w:p>
            <w:r/>
            <w:r>
              <w:rPr>
                <w:sz w:val="19"/>
              </w:rPr>
              <w:t>Au démarrage, la feuille inscrite dans .env prime sur l'environnement — pour ces deux clés seulement (OLLAMA_HOST, imposé par Docker, n'est pas touché).</w:t>
            </w:r>
          </w:p>
        </w:tc>
      </w:tr>
      <w:tr>
        <w:trPr>
          <w:cantSplit/>
        </w:trPr>
        <w:tc>
          <w:tcPr>
            <w:tcW w:type="dxa" w:w="4706"/>
          </w:tcPr>
          <w:p>
            <w:r/>
            <w:r>
              <w:rPr>
                <w:sz w:val="19"/>
              </w:rPr>
              <w:t>Un « # » dans un nom d'onglet ouvre un commentaire dans .env</w:t>
            </w:r>
          </w:p>
        </w:tc>
        <w:tc>
          <w:tcPr>
            <w:tcW w:type="dxa" w:w="4706"/>
          </w:tcPr>
          <w:p>
            <w:r/>
            <w:r>
              <w:rPr>
                <w:sz w:val="19"/>
              </w:rPr>
              <w:t>Valeur entre guillemets quand c'est nécessaire, relue à l'identique.</w:t>
            </w:r>
          </w:p>
        </w:tc>
      </w:tr>
      <w:tr>
        <w:trPr>
          <w:cantSplit/>
        </w:trPr>
        <w:tc>
          <w:tcPr>
            <w:tcW w:type="dxa" w:w="4706"/>
            <w:shd w:fill="FAFAF8"/>
          </w:tcPr>
          <w:p>
            <w:r/>
            <w:r>
              <w:rPr>
                <w:sz w:val="19"/>
              </w:rPr>
              <w:t>Une page d'un autre site pourrait changer la feuille</w:t>
            </w:r>
          </w:p>
        </w:tc>
        <w:tc>
          <w:tcPr>
            <w:tcW w:type="dxa" w:w="4706"/>
            <w:shd w:fill="FAFAF8"/>
          </w:tcPr>
          <w:p>
            <w:r/>
            <w:r>
              <w:rPr>
                <w:sz w:val="19"/>
              </w:rPr>
              <w:t>En-tête Origin contrôlé : seule l'interface de l'application est acceptée.</w:t>
            </w:r>
          </w:p>
        </w:tc>
      </w:tr>
      <w:tr>
        <w:trPr>
          <w:cantSplit/>
        </w:trPr>
        <w:tc>
          <w:tcPr>
            <w:tcW w:type="dxa" w:w="4706"/>
          </w:tcPr>
          <w:p>
            <w:r/>
            <w:r>
              <w:rPr>
                <w:sz w:val="19"/>
              </w:rPr>
              <w:t>.env écrit en CRLF par INSTALLER.bat</w:t>
            </w:r>
          </w:p>
        </w:tc>
        <w:tc>
          <w:tcPr>
            <w:tcW w:type="dxa" w:w="4706"/>
          </w:tcPr>
          <w:p>
            <w:r/>
            <w:r>
              <w:rPr>
                <w:sz w:val="19"/>
              </w:rPr>
              <w:t>Lu sans conversion des fins de ligne, réécrit atomiquement, sans BOM.</w:t>
            </w:r>
          </w:p>
        </w:tc>
      </w:tr>
    </w:tbl>
    <w:p/>
    <w:p>
      <w:pPr>
        <w:spacing w:before="40"/>
      </w:pPr>
      <w:r>
        <w:rPr>
          <w:i/>
          <w:color w:val="52514E"/>
          <w:sz w:val="19"/>
        </w:rPr>
        <w:t>tests/test_source_donnees.py (36 tests) et tests/test_arret.py (11 tests).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