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03120" cy="877408"/>
            <wp:docPr id="1" name="Picture 1"/>
            <wp:cNvGraphicFramePr>
              <a:graphicFrameLocks noChangeAspect="1"/>
            </wp:cNvGraphicFramePr>
            <a:graphic>
              <a:graphicData uri="http://schemas.openxmlformats.org/drawingml/2006/picture">
                <pic:pic>
                  <pic:nvPicPr>
                    <pic:cNvPr id="0" name="Dev_logo_rgb.png"/>
                    <pic:cNvPicPr/>
                  </pic:nvPicPr>
                  <pic:blipFill>
                    <a:blip r:embed="rId9"/>
                    <a:stretch>
                      <a:fillRect/>
                    </a:stretch>
                  </pic:blipFill>
                  <pic:spPr>
                    <a:xfrm>
                      <a:off x="0" y="0"/>
                      <a:ext cx="2103120" cy="877408"/>
                    </a:xfrm>
                    <a:prstGeom prst="rect"/>
                  </pic:spPr>
                </pic:pic>
              </a:graphicData>
            </a:graphic>
          </wp:inline>
        </w:drawing>
      </w:r>
    </w:p>
    <w:p/>
    <w:p/>
    <w:p/>
    <w:p>
      <w:pPr>
        <w:jc w:val="center"/>
      </w:pPr>
      <w:r>
        <w:rPr>
          <w:rFonts w:ascii="Calibri" w:hAnsi="Calibri"/>
          <w:b/>
          <w:color w:val="F2405A"/>
          <w:sz w:val="24"/>
        </w:rPr>
        <w:t>RAPPORT DE PROJET</w:t>
      </w:r>
    </w:p>
    <w:p>
      <w:pPr>
        <w:jc w:val="center"/>
      </w:pPr>
      <w:r>
        <w:rPr>
          <w:b/>
          <w:color w:val="242422"/>
          <w:sz w:val="54"/>
        </w:rPr>
        <w:t>DevoTeam Dashboard</w:t>
      </w:r>
    </w:p>
    <w:p>
      <w:pPr>
        <w:jc w:val="center"/>
      </w:pPr>
      <w:r>
        <w:rPr>
          <w:color w:val="52514E"/>
          <w:sz w:val="26"/>
        </w:rPr>
        <w:t>Dashboard commercial conversationnel — Rapport professionnel</w:t>
      </w:r>
    </w:p>
    <w:p/>
    <w:p/>
    <w:p/>
    <w:p/>
    <w:p/>
    <w:p/>
    <w:p>
      <w:pPr>
        <w:jc w:val="center"/>
      </w:pPr>
      <w:r>
        <w:rPr>
          <w:color w:val="52514E"/>
          <w:sz w:val="20"/>
        </w:rPr>
        <w:t>DevoTeam Dashboard — Projet interne  |  Octobre 2026  |  Youssef Hmidi</w:t>
      </w:r>
    </w:p>
    <w:p>
      <w:r>
        <w:br w:type="page"/>
      </w:r>
    </w:p>
    <w:p>
      <w:pPr>
        <w:keepNext/>
        <w:spacing w:before="400" w:after="200"/>
        <w:pBdr>
          <w:bottom w:val="single" w:sz="18" w:space="4" w:color="D42A45"/>
        </w:pBdr>
      </w:pPr>
      <w:r>
        <w:rPr>
          <w:b/>
          <w:color w:val="F2405A"/>
          <w:sz w:val="36"/>
        </w:rPr>
        <w:t>Sommaire</w:t>
      </w:r>
    </w:p>
    <w:p>
      <w:pPr>
        <w:pStyle w:val="ListBullet"/>
      </w:pPr>
      <w:r>
        <w:rPr>
          <w:color w:val="242422"/>
        </w:rPr>
        <w:t>Résumé exécutif</w:t>
      </w:r>
    </w:p>
    <w:p>
      <w:pPr>
        <w:pStyle w:val="ListBullet"/>
      </w:pPr>
      <w:r>
        <w:rPr>
          <w:color w:val="242422"/>
        </w:rPr>
        <w:t>Contexte et besoin métier</w:t>
      </w:r>
    </w:p>
    <w:p>
      <w:pPr>
        <w:pStyle w:val="ListBullet"/>
      </w:pPr>
      <w:r>
        <w:rPr>
          <w:color w:val="242422"/>
        </w:rPr>
        <w:t>Solution proposée</w:t>
      </w:r>
    </w:p>
    <w:p>
      <w:pPr>
        <w:pStyle w:val="ListBullet"/>
      </w:pPr>
      <w:r>
        <w:rPr>
          <w:color w:val="242422"/>
        </w:rPr>
        <w:t>Fonctionnalités</w:t>
      </w:r>
    </w:p>
    <w:p>
      <w:pPr>
        <w:pStyle w:val="ListBullet"/>
      </w:pPr>
      <w:r>
        <w:rPr>
          <w:color w:val="242422"/>
        </w:rPr>
        <w:t>Conception et architecture</w:t>
      </w:r>
    </w:p>
    <w:p>
      <w:pPr>
        <w:pStyle w:val="ListBullet"/>
      </w:pPr>
      <w:r>
        <w:rPr>
          <w:color w:val="242422"/>
        </w:rPr>
        <w:t>Stack technique</w:t>
      </w:r>
    </w:p>
    <w:p>
      <w:pPr>
        <w:pStyle w:val="ListBullet"/>
      </w:pPr>
      <w:r>
        <w:rPr>
          <w:color w:val="242422"/>
        </w:rPr>
        <w:t>Sécurité et fiabilité</w:t>
      </w:r>
    </w:p>
    <w:p>
      <w:pPr>
        <w:pStyle w:val="ListBullet"/>
      </w:pPr>
      <w:r>
        <w:rPr>
          <w:color w:val="242422"/>
        </w:rPr>
        <w:t>Preuve de fonctionnement — alertes deadlines</w:t>
      </w:r>
    </w:p>
    <w:p>
      <w:pPr>
        <w:pStyle w:val="ListBullet"/>
      </w:pPr>
      <w:r>
        <w:rPr>
          <w:color w:val="242422"/>
        </w:rPr>
        <w:t>Déploiement sur un nouveau poste</w:t>
      </w:r>
    </w:p>
    <w:p>
      <w:pPr>
        <w:pStyle w:val="ListBullet"/>
      </w:pPr>
      <w:r>
        <w:rPr>
          <w:color w:val="242422"/>
        </w:rPr>
        <w:t>État d'avancement et roadmap</w:t>
      </w:r>
    </w:p>
    <w:p>
      <w:pPr>
        <w:pStyle w:val="ListBullet"/>
      </w:pPr>
      <w:r>
        <w:rPr>
          <w:color w:val="242422"/>
        </w:rPr>
        <w:t>Conclusion</w:t>
      </w:r>
    </w:p>
    <w:p>
      <w:r>
        <w:br w:type="page"/>
      </w:r>
    </w:p>
    <w:p>
      <w:pPr>
        <w:keepNext/>
        <w:spacing w:before="400" w:after="200"/>
        <w:pBdr>
          <w:bottom w:val="single" w:sz="18" w:space="4" w:color="D42A45"/>
        </w:pBdr>
      </w:pPr>
      <w:r>
        <w:rPr>
          <w:b/>
          <w:color w:val="F2405A"/>
          <w:sz w:val="36"/>
        </w:rPr>
        <w:t>1. Résumé exécutif</w:t>
      </w:r>
    </w:p>
    <w:p>
      <w:r>
        <w:rPr>
          <w:b w:val="0"/>
          <w:i w:val="0"/>
        </w:rPr>
        <w:t>DevoTeam Dashboard est une application de tableau de bord commercial conversationnel : un utilisateur pose une question en français dans un chat (ex. « budget par pays pour Risk Advisory »), et l'application construit instantanément un tableau de bord complet qui y répond — plusieurs graphiques, chiffres clés et tableaux, tous cohérents entre eux, à partir des données réelles des opportunités commerciales. Aucune compétence SQL ou BI n'est requise côté utilisateur.</w:t>
      </w:r>
    </w:p>
    <w:p>
      <w:r>
        <w:rPr>
          <w:b w:val="0"/>
          <w:i w:val="0"/>
        </w:rPr>
        <w:t>Le projet est aujourd'hui fonctionnel de bout en bout, hébergé localement, et couvre l'ensemble du cycle : compréhension du langage naturel, génération de requêtes sécurisées, composition automatique de tableaux de bord versionnés, et un système d'alerte proactive par email et dans l'interface pour les opportunités dont l'échéance approche.</w:t>
      </w:r>
    </w:p>
    <w:p>
      <w:r>
        <w:rPr>
          <w:b w:val="0"/>
          <w:i w:val="0"/>
        </w:rPr>
        <w:t>Particularité assumée : les données vivent dans un simple Google Sheet, que les équipes commerciales éditent elles-mêmes. L'application n'a aucune base de données à installer, sauvegarder ou administrer — un choix qui réduit fortement le coût d'exploitation pour un portefeuille de cette taille.</w:t>
      </w:r>
    </w:p>
    <w:p>
      <w:pPr>
        <w:keepNext/>
        <w:spacing w:before="400" w:after="200"/>
        <w:pBdr>
          <w:bottom w:val="single" w:sz="18" w:space="4" w:color="D42A45"/>
        </w:pBdr>
      </w:pPr>
      <w:r>
        <w:rPr>
          <w:b/>
          <w:color w:val="F2405A"/>
          <w:sz w:val="36"/>
        </w:rPr>
        <w:t>2. Contexte et besoin métier</w:t>
      </w:r>
    </w:p>
    <w:p>
      <w:r>
        <w:rPr>
          <w:b w:val="0"/>
          <w:i w:val="0"/>
        </w:rPr>
        <w:t>Les équipes commerciales suivent un grand nombre d'opportunités (appels d'offres, manifestations d'intérêt, consultations…) réparties sur plusieurs pays et practices (Digital Transformation, Risk Advisory, Data Management). Deux problèmes récurrents motivent ce projet :</w:t>
      </w:r>
    </w:p>
    <w:p>
      <w:pPr>
        <w:pStyle w:val="ListBullet"/>
      </w:pPr>
      <w:r>
        <w:rPr>
          <w:b/>
          <w:color w:val="D42A45"/>
        </w:rPr>
        <w:t xml:space="preserve">Accès à l'information : </w:t>
      </w:r>
      <w:r>
        <w:t>l'analyse de ces données (budget par pays, taux de réussite, répartition par statut…) nécessite normalement un outil BI ou des requêtes SQL — un frein pour un usage quotidien rapide par des non-techniciens ;</w:t>
      </w:r>
    </w:p>
    <w:p>
      <w:pPr>
        <w:pStyle w:val="ListBullet"/>
      </w:pPr>
      <w:r>
        <w:rPr>
          <w:b/>
          <w:color w:val="D42A45"/>
        </w:rPr>
        <w:t xml:space="preserve">Risque de deadline manquée : </w:t>
      </w:r>
      <w:r>
        <w:t>une opportunité dont l'échéance approche peut passer inaperçue si personne ne consulte le dashboard ce jour-là, avec un risque direct de manquer une date de remise d'offre.</w:t>
      </w:r>
    </w:p>
    <w:p>
      <w:r>
        <w:rPr>
          <w:b w:val="0"/>
          <w:i w:val="0"/>
        </w:rPr>
        <w:t>Le besoin métier est donc double : donner un accès conversationnel, immédiat et fiable aux données commerciales, et transformer le suivi des échéances d'un geste passif (consulter le dashboard) en une alerte active (le système prévient l'équipe).</w:t>
      </w:r>
    </w:p>
    <w:p>
      <w:pPr>
        <w:keepNext/>
        <w:spacing w:before="400" w:after="200"/>
        <w:pBdr>
          <w:bottom w:val="single" w:sz="18" w:space="4" w:color="D42A45"/>
        </w:pBdr>
      </w:pPr>
      <w:r>
        <w:rPr>
          <w:b/>
          <w:color w:val="F2405A"/>
          <w:sz w:val="36"/>
        </w:rPr>
        <w:t>3. Solution proposée</w:t>
      </w:r>
    </w:p>
    <w:p>
      <w:r>
        <w:rPr>
          <w:b w:val="0"/>
          <w:i w:val="0"/>
        </w:rPr>
        <w:t>L'application répond à ce besoin par un assistant conversationnel branché directement sur les données commerciales réelles, avec une garantie forte : le système ne répond jamais par une donnée inventée. Si la demande est ambiguë (métrique, filtre ou valeur non reconnue), il demande une clarification plutôt que de deviner un résultat plausible mais faux — un choix de conception délibéré, central pour la confiance dans les chiffres affichés à des fins commerciales.</w:t>
      </w:r>
    </w:p>
    <w:p>
      <w:r>
        <w:rPr>
          <w:b w:val="0"/>
          <w:i w:val="0"/>
        </w:rPr>
        <w:t>Pour le risque de deadline manquée, une brique d'alerte a été ajoutée : chaque jour, le système identifie automatiquement les opportunités encore actives dont l'échéance tombe dans les 7 jours suivants, envoie un email récapitulatif, et affiche un bandeau d'alerte directement dans le dashboard.</w:t>
      </w:r>
    </w:p>
    <w:p>
      <w:r>
        <w:rPr>
          <w:b w:val="0"/>
          <w:i w:val="0"/>
        </w:rPr>
        <w:t>Enfin, plutôt que de livrer un graphique isolé par question, l'application compose un tableau de bord entier : le chiffre demandé, le même chiffre sous un autre angle, l'état du pipeline et le détail vérifiable — de quoi non seulement répondre à la question posée, mais aussi susciter la suivante.</w:t>
      </w:r>
    </w:p>
    <w:p>
      <w:pPr>
        <w:keepNext/>
        <w:spacing w:before="400" w:after="200"/>
        <w:pBdr>
          <w:bottom w:val="single" w:sz="18" w:space="4" w:color="D42A45"/>
        </w:pBdr>
      </w:pPr>
      <w:r>
        <w:rPr>
          <w:b/>
          <w:color w:val="F2405A"/>
          <w:sz w:val="36"/>
        </w:rPr>
        <w:t>4. Fonctionnalités</w:t>
      </w:r>
    </w:p>
    <w:p>
      <w:pPr>
        <w:keepNext/>
        <w:spacing w:before="280" w:after="120"/>
      </w:pPr>
      <w:r>
        <w:rPr>
          <w:b/>
          <w:color w:val="242422"/>
          <w:sz w:val="27"/>
        </w:rPr>
        <w:t>4.1 Chat et compréhension du langage naturel</w:t>
      </w:r>
    </w:p>
    <w:p>
      <w:pPr>
        <w:pStyle w:val="ListBullet"/>
      </w:pPr>
      <w:r>
        <w:t>Questions en français libre, sans syntaxe imposée.</w:t>
      </w:r>
    </w:p>
    <w:p>
      <w:pPr>
        <w:pStyle w:val="ListBullet"/>
      </w:pPr>
      <w:r>
        <w:t>Contexte multi-tour : une question de suivi (« et pour Data Management ? ») hérite automatiquement du contexte de la question précédente.</w:t>
      </w:r>
    </w:p>
    <w:p>
      <w:pPr>
        <w:pStyle w:val="ListBullet"/>
      </w:pPr>
      <w:r>
        <w:t>Dates et périodes relatives comprises et calculées de façon fiable (« ce mois-ci », « l'année dernière », « le trimestre dernier »…).</w:t>
      </w:r>
    </w:p>
    <w:p>
      <w:pPr>
        <w:pStyle w:val="ListBullet"/>
      </w:pPr>
      <w:r>
        <w:t>Requêtes de comparaison entre plusieurs valeurs (« compare la France et le Maroc »).</w:t>
      </w:r>
    </w:p>
    <w:p>
      <w:pPr>
        <w:pStyle w:val="ListBullet"/>
      </w:pPr>
      <w:r>
        <w:t>Demande de clarification explicite si la question reste ambiguë, plutôt qu'une réponse devinée.</w:t>
      </w:r>
    </w:p>
    <w:p>
      <w:pPr>
        <w:pStyle w:val="ListBullet"/>
      </w:pPr>
      <w:r>
        <w:t>L'historique de conversation reste disponible après un rechargement de page — une analyse en cours n'est plus perdue par un rafraîchissement accidentel.</w:t>
      </w:r>
    </w:p>
    <w:p>
      <w:pPr>
        <w:keepNext/>
        <w:spacing w:before="280" w:after="120"/>
      </w:pPr>
      <w:r>
        <w:rPr>
          <w:b/>
          <w:color w:val="242422"/>
          <w:sz w:val="27"/>
        </w:rPr>
        <w:t>4.2 Un dashboard complet par question</w:t>
      </w:r>
    </w:p>
    <w:p>
      <w:r>
        <w:rPr>
          <w:b w:val="0"/>
          <w:i w:val="0"/>
        </w:rPr>
        <w:t>Une question ne produit pas un graphique isolé mais un tableau de bord entier : cinq à sept visualisations qui répondent ensemble, et qui partagent toutes les mêmes filtres — l'utilisateur regarde donc un périmètre cohérent, jamais des chiffres qui ne se comparent pas entre eux.</w:t>
      </w:r>
    </w:p>
    <w:p>
      <w:pPr>
        <w:pStyle w:val="ListBullet"/>
      </w:pPr>
      <w:r>
        <w:t>Les totaux du périmètre interrogé (budget, nombre d'opportunités, montant pondéré) en cartes chiffrées.</w:t>
      </w:r>
    </w:p>
    <w:p>
      <w:pPr>
        <w:pStyle w:val="ListBullet"/>
      </w:pPr>
      <w:r>
        <w:t>Le graphique qui répond directement à la question posée.</w:t>
      </w:r>
    </w:p>
    <w:p>
      <w:pPr>
        <w:pStyle w:val="ListBullet"/>
      </w:pPr>
      <w:r>
        <w:t>Le même chiffre vu sous un autre angle (une dimension complémentaire, choisie pour ne jamais dupliquer un axe déjà filtré).</w:t>
      </w:r>
    </w:p>
    <w:p>
      <w:pPr>
        <w:pStyle w:val="ListBullet"/>
      </w:pPr>
      <w:r>
        <w:t>L'état du pipeline commercial sur ce périmètre.</w:t>
      </w:r>
    </w:p>
    <w:p>
      <w:pPr>
        <w:pStyle w:val="ListBullet"/>
      </w:pPr>
      <w:r>
        <w:t>Le détail ligne par ligne, pour vérifier les chiffres.</w:t>
      </w:r>
    </w:p>
    <w:p>
      <w:r>
        <w:rPr>
          <w:b w:val="0"/>
          <w:i w:val="0"/>
        </w:rPr>
        <w:t>La page d'accueil, elle, est un tableau de bord fixe répondant aux cinq questions les plus fréquentes, avec un filtre interactif par practice qui recalcule instantanément l'ensemble des visualisations.</w:t>
      </w:r>
    </w:p>
    <w:p>
      <w:pPr>
        <w:pStyle w:val="ListBullet"/>
      </w:pPr>
      <w:r>
        <w:t>Neuf types de rendu disponibles : barres, courbes, aires, camemberts, cartes chiffrées, tableaux, entonnoir de vente, nuage de points et carte de chaleur.</w:t>
      </w:r>
    </w:p>
    <w:p>
      <w:pPr>
        <w:pStyle w:val="ListBullet"/>
      </w:pPr>
      <w:r>
        <w:t>Entonnoir de vente : opportunités par étape du pipeline, dans l'ordre réel du cycle de vente — visualise directement où les deals se perdent.</w:t>
      </w:r>
    </w:p>
    <w:p>
      <w:pPr>
        <w:pStyle w:val="ListBullet"/>
      </w:pPr>
      <w:r>
        <w:t>Nuage de points : budget vs probabilité de gain — révèle si les gros budgets ont statistiquement plus de chances d'être gagnés.</w:t>
      </w:r>
    </w:p>
    <w:p>
      <w:pPr>
        <w:keepNext/>
        <w:spacing w:before="280" w:after="120"/>
      </w:pPr>
      <w:r>
        <w:rPr>
          <w:b/>
          <w:color w:val="242422"/>
          <w:sz w:val="27"/>
        </w:rPr>
        <w:t>4.3 Tableaux de bord « as code »</w:t>
      </w:r>
    </w:p>
    <w:p>
      <w:r>
        <w:rPr>
          <w:b w:val="0"/>
          <w:i w:val="0"/>
        </w:rPr>
        <w:t>Les tableaux de bord ne sont pas configurés dans une interface graphique mais décrits dans des fichiers texte versionnés (Bruin DAC). Conséquence concrète : toute évolution d'un tableau de bord passe en revue comme du code, se compare d'une version à l'autre, et se reproduit à l'identique sur n'importe quel poste.</w:t>
      </w:r>
    </w:p>
    <w:p>
      <w:pPr>
        <w:pStyle w:val="ListBullet"/>
      </w:pPr>
      <w:r>
        <w:t>Les tableaux de bord générés par le chat le sont dans le même format que ceux écrits à la main — un tableau de bord produit par l'IA peut donc être relu, corrigé et conservé comme n'importe quel autre.</w:t>
      </w:r>
    </w:p>
    <w:p>
      <w:pPr>
        <w:pStyle w:val="ListBullet"/>
      </w:pPr>
      <w:r>
        <w:t>Deux commandes de contrôle : l'une vérifie la structure, l'autre exécute réellement chaque requête pour confirmer qu'aucun widget n'est cassé.</w:t>
      </w:r>
    </w:p>
    <w:p>
      <w:pPr>
        <w:pStyle w:val="ListBullet"/>
      </w:pPr>
      <w:r>
        <w:t>Le tableau de bord principal est découpé en cinq sections — offres remises, affaires chaudes, santé du portefeuille, pipeline, échéances — accessibles par une barre d'onglets. Chacune affiche en sous-titre la question à laquelle elle répond, et un bouton ramène au point de départ depuis n'importe quel écran.</w:t>
      </w:r>
    </w:p>
    <w:p>
      <w:pPr>
        <w:pStyle w:val="ListBullet"/>
      </w:pPr>
      <w:r>
        <w:t>Quand une section porte déjà la réponse à la question posée, elle s'ouvre filtrée comme demandé au lieu qu'un tableau de bord soit créé : l'utilisateur reste sur une page qu'il connaît, et le chiffre affiché provient d'un widget relu en revue.</w:t>
      </w:r>
    </w:p>
    <w:p>
      <w:pPr>
        <w:keepNext/>
        <w:spacing w:before="280" w:after="120"/>
      </w:pPr>
      <w:r>
        <w:rPr>
          <w:b/>
          <w:color w:val="242422"/>
          <w:sz w:val="27"/>
        </w:rPr>
        <w:t>4.4 Alertes deadlines</w:t>
      </w:r>
    </w:p>
    <w:p>
      <w:pPr>
        <w:pStyle w:val="ListBullet"/>
      </w:pPr>
      <w:r>
        <w:t>Email quotidien automatique récapitulant les opportunités actives à échéance ≤ 7 jours, envoyé chaque matin à 8h.</w:t>
      </w:r>
    </w:p>
    <w:p>
      <w:pPr>
        <w:pStyle w:val="ListBullet"/>
      </w:pPr>
      <w:r>
        <w:t>Rappel répété chaque jour tant que l'échéance n'est pas passée — aucune opportunité à risque ne peut être oubliée.</w:t>
      </w:r>
    </w:p>
    <w:p>
      <w:pPr>
        <w:pStyle w:val="ListBullet"/>
      </w:pPr>
      <w:r>
        <w:t>Bandeau d'alerte visible directement dans le dashboard, avec le détail par opportunité (client, pays, practice, statut, budget, jours restants).</w:t>
      </w:r>
    </w:p>
    <w:p>
      <w:pPr>
        <w:pStyle w:val="ListBullet"/>
      </w:pPr>
      <w:r>
        <w:t>Exclusion automatique des opportunités déjà closes (gagnées, perdues, signées, infructueuses…) pour ne pas polluer l'alerte — la même règle s'applique désormais à la question « opportunités urgentes » posée directement dans le chat, pour une définition cohérente sur tous les canaux.</w:t>
      </w:r>
    </w:p>
    <w:p>
      <w:pPr>
        <w:pStyle w:val="ListBullet"/>
      </w:pPr>
      <w:r>
        <w:t>Donnée « jours restants » recalculée à chaque chargement des données à partir de la date réelle du jour, pour ne jamais afficher un chiffre obsolète.</w:t>
      </w:r>
    </w:p>
    <w:p>
      <w:pPr>
        <w:keepNext/>
        <w:spacing w:before="280" w:after="120"/>
      </w:pPr>
      <w:r>
        <w:rPr>
          <w:b/>
          <w:color w:val="242422"/>
          <w:sz w:val="27"/>
        </w:rPr>
        <w:t>4.5 Le Google Sheet comme source de données</w:t>
      </w:r>
    </w:p>
    <w:p>
      <w:pPr>
        <w:pStyle w:val="ListBullet"/>
      </w:pPr>
      <w:r>
        <w:t>Les équipes gèrent les opportunités dans un Google Sheet — un outil qu'elles maîtrisent déjà — plutôt que dans une base de données : ajouter ou corriger une opportunité ne demande aucune compétence technique.</w:t>
      </w:r>
    </w:p>
    <w:p>
      <w:pPr>
        <w:pStyle w:val="ListBullet"/>
      </w:pPr>
      <w:r>
        <w:t>L'application lit le Sheet directement et le recharge toutes les 15 minutes, au démarrage, et à la demande via un bouton dans l'interface. Aucune base de données à installer, à sauvegarder ou à administrer.</w:t>
      </w:r>
    </w:p>
    <w:p>
      <w:pPr>
        <w:pStyle w:val="ListBullet"/>
      </w:pPr>
      <w:r>
        <w:t>Chaque ligne est validée indépendamment (dates, montants, statuts) ; une ligne invalide est journalisée et ignorée, sans jamais bloquer le chargement des autres — c'est ce contrôle qui a révélé douze opportunités au statut erroné, passées inaperçues jusque-là.</w:t>
      </w:r>
    </w:p>
    <w:p>
      <w:pPr>
        <w:pStyle w:val="ListBullet"/>
      </w:pPr>
      <w:r>
        <w:t>Les colonnes calculées (mois et année d'échéance, jours restants, montant pondéré) sont toujours recalculées à la lecture puis réécrites dans le Sheet : elles ne peuvent donc jamais diverger des données saisies.</w:t>
      </w:r>
    </w:p>
    <w:p>
      <w:pPr>
        <w:keepNext/>
        <w:spacing w:before="280" w:after="120"/>
      </w:pPr>
      <w:r>
        <w:rPr>
          <w:b/>
          <w:color w:val="242422"/>
          <w:sz w:val="27"/>
        </w:rPr>
        <w:t>4.6 La source de données pilotée depuis l'interface</w:t>
      </w:r>
    </w:p>
    <w:p>
      <w:pPr>
        <w:pStyle w:val="ListBullet"/>
      </w:pPr>
      <w:r>
        <w:t>« Santé des données » : un verdict sur la lecture du Google Sheet, les chiffres clés, les cellules à corriger dans la feuille et un aperçu des lignes — pour savoir en un clic si les chiffres affichés reposent sur une lecture réussie.</w:t>
      </w:r>
    </w:p>
    <w:p>
      <w:pPr>
        <w:pStyle w:val="ListBullet"/>
      </w:pPr>
      <w:r>
        <w:t>« Lier une feuille Google » : changer de feuille sans terminal. Les onglets sont proposés, la feuille est testée comme l'application la lira, et elle n'est enregistrée que si le test réussit.</w:t>
      </w:r>
    </w:p>
    <w:p>
      <w:pPr>
        <w:pStyle w:val="ListBullet"/>
      </w:pPr>
      <w:r>
        <w:t>Un raccourci « Arrêter DevoTeam Dashboard » arrête l'application et libère ses ports et la mémoire du modèle de langage.</w:t>
      </w:r>
    </w:p>
    <w:p>
      <w:pPr>
        <w:keepNext/>
        <w:spacing w:before="280" w:after="120"/>
      </w:pPr>
      <w:r>
        <w:rPr>
          <w:b/>
          <w:color w:val="242422"/>
          <w:sz w:val="27"/>
        </w:rPr>
        <w:t>4.7 Branding et expérience utilisateur</w:t>
      </w:r>
    </w:p>
    <w:p>
      <w:pPr>
        <w:pStyle w:val="ListBullet"/>
      </w:pPr>
      <w:r>
        <w:t>Interface habillée aux couleurs et au logo Devoteam.</w:t>
      </w:r>
    </w:p>
    <w:p>
      <w:pPr>
        <w:pStyle w:val="ListBullet"/>
      </w:pPr>
      <w:r>
        <w:t>Micro-interactions et animations (fond animé, transitions, mise en avant des nouveaux résultats).</w:t>
      </w:r>
    </w:p>
    <w:p>
      <w:pPr>
        <w:pStyle w:val="ListBullet"/>
      </w:pPr>
      <w:r>
        <w:t>Mode sombre entièrement lisible : deux défauts de contraste corrigés (en-tête et texte d'alerte) sans rien changer au mode clair déjà validé.</w:t>
      </w:r>
    </w:p>
    <w:p>
      <w:pPr>
        <w:keepNext/>
        <w:spacing w:before="400" w:after="200"/>
        <w:pBdr>
          <w:bottom w:val="single" w:sz="18" w:space="4" w:color="D42A45"/>
        </w:pBdr>
      </w:pPr>
      <w:r>
        <w:rPr>
          <w:b/>
          <w:color w:val="F2405A"/>
          <w:sz w:val="36"/>
        </w:rPr>
        <w:t>5. Conception et architecture</w:t>
      </w:r>
    </w:p>
    <w:p>
      <w:r>
        <w:rPr>
          <w:b w:val="0"/>
          <w:i w:val="0"/>
        </w:rPr>
        <w:t>L'architecture suit un principe simple, et non négociable : le LLM ne produit jamais directement un graphique, une requête ou un chiffre. Il transforme la question de l'utilisateur en une structure intermédiaire strictement validée (métrique, dimension, filtres, type de graphique…), et c'est ensuite du code déterministe qui la traduit en requêtes et en tableau de bord. Cette séparation garantit que tout ce qui s'affiche provient des données réelles.</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F2405A"/>
          </w:tcPr>
          <w:p>
            <w:r/>
            <w:r>
              <w:rPr>
                <w:b/>
                <w:color w:val="FFFFFF"/>
                <w:sz w:val="19"/>
              </w:rPr>
              <w:t>Étape</w:t>
            </w:r>
          </w:p>
        </w:tc>
        <w:tc>
          <w:tcPr>
            <w:tcW w:type="dxa" w:w="4706"/>
            <w:shd w:fill="F2405A"/>
          </w:tcPr>
          <w:p>
            <w:r/>
            <w:r>
              <w:rPr>
                <w:b/>
                <w:color w:val="FFFFFF"/>
                <w:sz w:val="19"/>
              </w:rPr>
              <w:t>Rôle</w:t>
            </w:r>
          </w:p>
        </w:tc>
      </w:tr>
      <w:tr>
        <w:trPr>
          <w:cantSplit/>
        </w:trPr>
        <w:tc>
          <w:tcPr>
            <w:tcW w:type="dxa" w:w="4706"/>
          </w:tcPr>
          <w:p>
            <w:r/>
            <w:r>
              <w:rPr>
                <w:sz w:val="19"/>
              </w:rPr>
              <w:t>1. Chat utilisateur</w:t>
            </w:r>
          </w:p>
        </w:tc>
        <w:tc>
          <w:tcPr>
            <w:tcW w:type="dxa" w:w="4706"/>
          </w:tcPr>
          <w:p>
            <w:r/>
            <w:r>
              <w:rPr>
                <w:sz w:val="19"/>
              </w:rPr>
              <w:t>L'utilisateur pose sa question en français dans l'interface.</w:t>
            </w:r>
          </w:p>
        </w:tc>
      </w:tr>
      <w:tr>
        <w:trPr>
          <w:cantSplit/>
        </w:trPr>
        <w:tc>
          <w:tcPr>
            <w:tcW w:type="dxa" w:w="4706"/>
            <w:shd w:fill="FAFAF8"/>
          </w:tcPr>
          <w:p>
            <w:r/>
            <w:r>
              <w:rPr>
                <w:sz w:val="19"/>
              </w:rPr>
              <w:t>2. Compréhension d'intention</w:t>
            </w:r>
          </w:p>
        </w:tc>
        <w:tc>
          <w:tcPr>
            <w:tcW w:type="dxa" w:w="4706"/>
            <w:shd w:fill="FAFAF8"/>
          </w:tcPr>
          <w:p>
            <w:r/>
            <w:r>
              <w:rPr>
                <w:sz w:val="19"/>
              </w:rPr>
              <w:t>Le LLM (ou un parseur rapide par mots-clés pour les cas simples) extrait une intention structurée et validée.</w:t>
            </w:r>
          </w:p>
        </w:tc>
      </w:tr>
      <w:tr>
        <w:trPr>
          <w:cantSplit/>
        </w:trPr>
        <w:tc>
          <w:tcPr>
            <w:tcW w:type="dxa" w:w="4706"/>
          </w:tcPr>
          <w:p>
            <w:r/>
            <w:r>
              <w:rPr>
                <w:sz w:val="19"/>
              </w:rPr>
              <w:t>3. Résolution des filtres</w:t>
            </w:r>
          </w:p>
        </w:tc>
        <w:tc>
          <w:tcPr>
            <w:tcW w:type="dxa" w:w="4706"/>
          </w:tcPr>
          <w:p>
            <w:r/>
            <w:r>
              <w:rPr>
                <w:sz w:val="19"/>
              </w:rPr>
              <w:t>Chaque valeur de filtre (pays, statut…) est vérifiée contre les données réelles ; en cas de doute, une clarification est demandée.</w:t>
            </w:r>
          </w:p>
        </w:tc>
      </w:tr>
      <w:tr>
        <w:trPr>
          <w:cantSplit/>
        </w:trPr>
        <w:tc>
          <w:tcPr>
            <w:tcW w:type="dxa" w:w="4706"/>
            <w:shd w:fill="FAFAF8"/>
          </w:tcPr>
          <w:p>
            <w:r/>
            <w:r>
              <w:rPr>
                <w:sz w:val="19"/>
              </w:rPr>
              <w:t>4. Composition du tableau de bord</w:t>
            </w:r>
          </w:p>
        </w:tc>
        <w:tc>
          <w:tcPr>
            <w:tcW w:type="dxa" w:w="4706"/>
            <w:shd w:fill="FAFAF8"/>
          </w:tcPr>
          <w:p>
            <w:r/>
            <w:r>
              <w:rPr>
                <w:sz w:val="19"/>
              </w:rPr>
              <w:t>Des règles déterministes choisissent les cinq à sept visualisations qui répondent ensemble à la question, toutes filtrées à l'identique.</w:t>
            </w:r>
          </w:p>
        </w:tc>
      </w:tr>
      <w:tr>
        <w:trPr>
          <w:cantSplit/>
        </w:trPr>
        <w:tc>
          <w:tcPr>
            <w:tcW w:type="dxa" w:w="4706"/>
          </w:tcPr>
          <w:p>
            <w:r/>
            <w:r>
              <w:rPr>
                <w:sz w:val="19"/>
              </w:rPr>
              <w:t>5. Génération des requêtes</w:t>
            </w:r>
          </w:p>
        </w:tc>
        <w:tc>
          <w:tcPr>
            <w:tcW w:type="dxa" w:w="4706"/>
          </w:tcPr>
          <w:p>
            <w:r/>
            <w:r>
              <w:rPr>
                <w:sz w:val="19"/>
              </w:rPr>
              <w:t>Chaque visualisation reçoit sa requête, produite par du code à partir de l'intention validée — jamais écrite par le LLM.</w:t>
            </w:r>
          </w:p>
        </w:tc>
      </w:tr>
      <w:tr>
        <w:trPr>
          <w:cantSplit/>
        </w:trPr>
        <w:tc>
          <w:tcPr>
            <w:tcW w:type="dxa" w:w="4706"/>
            <w:shd w:fill="FAFAF8"/>
          </w:tcPr>
          <w:p>
            <w:r/>
            <w:r>
              <w:rPr>
                <w:sz w:val="19"/>
              </w:rPr>
              <w:t>6. Affichage</w:t>
            </w:r>
          </w:p>
        </w:tc>
        <w:tc>
          <w:tcPr>
            <w:tcW w:type="dxa" w:w="4706"/>
            <w:shd w:fill="FAFAF8"/>
          </w:tcPr>
          <w:p>
            <w:r/>
            <w:r>
              <w:rPr>
                <w:sz w:val="19"/>
              </w:rPr>
              <w:t>Le tableau de bord est décrit dans un fichier versionné, puis rendu à l'écran ; un message texte l'accompagne, calculé directement depuis les données.</w:t>
            </w:r>
          </w:p>
        </w:tc>
      </w:tr>
    </w:tbl>
    <w:p/>
    <w:p>
      <w:r>
        <w:rPr>
          <w:b w:val="0"/>
          <w:i w:val="0"/>
        </w:rPr>
        <w:t>L'alerte deadlines suit le même principe de fiabilité : la vérification des échéances repose sur un nombre de jours restants recalculé à chaque chargement des données depuis la date réelle du jour, sur un calendrier automatique indépendant de toute action utilisateur.</w:t>
      </w:r>
    </w:p>
    <w:p>
      <w:r>
        <w:rPr>
          <w:b w:val="0"/>
          <w:i w:val="0"/>
        </w:rPr>
        <w:t>Une seule source de vérité alimente l'ensemble : les données du Google Sheet, chargées en mémoire. Le moteur de tableaux de bord interroge une copie de cette même source, régénérée à chaque rafraîchissement — les chiffres du chat et ceux des tableaux de bord ne peuvent donc pas diverger.</w:t>
      </w:r>
    </w:p>
    <w:p>
      <w:pPr>
        <w:keepNext/>
        <w:spacing w:before="400" w:after="200"/>
        <w:pBdr>
          <w:bottom w:val="single" w:sz="18" w:space="4" w:color="D42A45"/>
        </w:pBdr>
      </w:pPr>
      <w:r>
        <w:rPr>
          <w:b/>
          <w:color w:val="F2405A"/>
          <w:sz w:val="36"/>
        </w:rPr>
        <w:t>6. Stack technique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137"/>
            <w:shd w:fill="F2405A"/>
          </w:tcPr>
          <w:p>
            <w:r/>
            <w:r>
              <w:rPr>
                <w:b/>
                <w:color w:val="FFFFFF"/>
                <w:sz w:val="19"/>
              </w:rPr>
              <w:t>Brique</w:t>
            </w:r>
          </w:p>
        </w:tc>
        <w:tc>
          <w:tcPr>
            <w:tcW w:type="dxa" w:w="3137"/>
            <w:shd w:fill="F2405A"/>
          </w:tcPr>
          <w:p>
            <w:r/>
            <w:r>
              <w:rPr>
                <w:b/>
                <w:color w:val="FFFFFF"/>
                <w:sz w:val="19"/>
              </w:rPr>
              <w:t>Technologie</w:t>
            </w:r>
          </w:p>
        </w:tc>
        <w:tc>
          <w:tcPr>
            <w:tcW w:type="dxa" w:w="3137"/>
            <w:shd w:fill="F2405A"/>
          </w:tcPr>
          <w:p>
            <w:r/>
            <w:r>
              <w:rPr>
                <w:b/>
                <w:color w:val="FFFFFF"/>
                <w:sz w:val="19"/>
              </w:rPr>
              <w:t>Pourquoi</w:t>
            </w:r>
          </w:p>
        </w:tc>
      </w:tr>
      <w:tr>
        <w:trPr>
          <w:cantSplit/>
        </w:trPr>
        <w:tc>
          <w:tcPr>
            <w:tcW w:type="dxa" w:w="3137"/>
          </w:tcPr>
          <w:p>
            <w:r/>
            <w:r>
              <w:rPr>
                <w:sz w:val="19"/>
              </w:rPr>
              <w:t>Backend / API</w:t>
            </w:r>
          </w:p>
        </w:tc>
        <w:tc>
          <w:tcPr>
            <w:tcW w:type="dxa" w:w="3137"/>
          </w:tcPr>
          <w:p>
            <w:r/>
            <w:r>
              <w:rPr>
                <w:sz w:val="19"/>
              </w:rPr>
              <w:t>FastAPI (Python)</w:t>
            </w:r>
          </w:p>
        </w:tc>
        <w:tc>
          <w:tcPr>
            <w:tcW w:type="dxa" w:w="3137"/>
          </w:tcPr>
          <w:p>
            <w:r/>
            <w:r>
              <w:rPr>
                <w:sz w:val="19"/>
              </w:rPr>
              <w:t>Framework léger, typé, avec validation de données native (Pydantic) — cohérent avec l'exigence anti-hallucination.</w:t>
            </w:r>
          </w:p>
        </w:tc>
      </w:tr>
      <w:tr>
        <w:trPr>
          <w:cantSplit/>
        </w:trPr>
        <w:tc>
          <w:tcPr>
            <w:tcW w:type="dxa" w:w="3137"/>
            <w:shd w:fill="FAFAF8"/>
          </w:tcPr>
          <w:p>
            <w:r/>
            <w:r>
              <w:rPr>
                <w:sz w:val="19"/>
              </w:rPr>
              <w:t>Source de données</w:t>
            </w:r>
          </w:p>
        </w:tc>
        <w:tc>
          <w:tcPr>
            <w:tcW w:type="dxa" w:w="3137"/>
            <w:shd w:fill="FAFAF8"/>
          </w:tcPr>
          <w:p>
            <w:r/>
            <w:r>
              <w:rPr>
                <w:sz w:val="19"/>
              </w:rPr>
              <w:t>Google Sheets + pandas</w:t>
            </w:r>
          </w:p>
        </w:tc>
        <w:tc>
          <w:tcPr>
            <w:tcW w:type="dxa" w:w="3137"/>
            <w:shd w:fill="FAFAF8"/>
          </w:tcPr>
          <w:p>
            <w:r/>
            <w:r>
              <w:rPr>
                <w:sz w:val="19"/>
              </w:rPr>
              <w:t>Les équipes gèrent les opportunités dans un tableur familier ; l'application le charge en mémoire. Aucune base à installer ni administrer.</w:t>
            </w:r>
          </w:p>
        </w:tc>
      </w:tr>
      <w:tr>
        <w:trPr>
          <w:cantSplit/>
        </w:trPr>
        <w:tc>
          <w:tcPr>
            <w:tcW w:type="dxa" w:w="3137"/>
          </w:tcPr>
          <w:p>
            <w:r/>
            <w:r>
              <w:rPr>
                <w:sz w:val="19"/>
              </w:rPr>
              <w:t>Compréhension du langage</w:t>
            </w:r>
          </w:p>
        </w:tc>
        <w:tc>
          <w:tcPr>
            <w:tcW w:type="dxa" w:w="3137"/>
          </w:tcPr>
          <w:p>
            <w:r/>
            <w:r>
              <w:rPr>
                <w:sz w:val="19"/>
              </w:rPr>
              <w:t>Ollama (local) — qwen2.5:7b-instruct-q4_K_M</w:t>
            </w:r>
          </w:p>
        </w:tc>
        <w:tc>
          <w:tcPr>
            <w:tcW w:type="dxa" w:w="3137"/>
          </w:tcPr>
          <w:p>
            <w:r/>
            <w:r>
              <w:rPr>
                <w:sz w:val="19"/>
              </w:rPr>
              <w:t>Aucune clé API, aucun quota, sortie JSON complétée par une validation stricte côté serveur.</w:t>
            </w:r>
          </w:p>
        </w:tc>
      </w:tr>
      <w:tr>
        <w:trPr>
          <w:cantSplit/>
        </w:trPr>
        <w:tc>
          <w:tcPr>
            <w:tcW w:type="dxa" w:w="3137"/>
            <w:shd w:fill="FAFAF8"/>
          </w:tcPr>
          <w:p>
            <w:r/>
            <w:r>
              <w:rPr>
                <w:sz w:val="19"/>
              </w:rPr>
              <w:t>Tableaux de bord</w:t>
            </w:r>
          </w:p>
        </w:tc>
        <w:tc>
          <w:tcPr>
            <w:tcW w:type="dxa" w:w="3137"/>
            <w:shd w:fill="FAFAF8"/>
          </w:tcPr>
          <w:p>
            <w:r/>
            <w:r>
              <w:rPr>
                <w:sz w:val="19"/>
              </w:rPr>
              <w:t>Bruin DAC</w:t>
            </w:r>
          </w:p>
        </w:tc>
        <w:tc>
          <w:tcPr>
            <w:tcW w:type="dxa" w:w="3137"/>
            <w:shd w:fill="FAFAF8"/>
          </w:tcPr>
          <w:p>
            <w:r/>
            <w:r>
              <w:rPr>
                <w:sz w:val="19"/>
              </w:rPr>
              <w:t>Tableaux de bord décrits en fichiers versionnés plutôt que configurés à la souris : relus en revue, reproductibles, 21 types de graphiques.</w:t>
            </w:r>
          </w:p>
        </w:tc>
      </w:tr>
      <w:tr>
        <w:trPr>
          <w:cantSplit/>
        </w:trPr>
        <w:tc>
          <w:tcPr>
            <w:tcW w:type="dxa" w:w="3137"/>
          </w:tcPr>
          <w:p>
            <w:r/>
            <w:r>
              <w:rPr>
                <w:sz w:val="19"/>
              </w:rPr>
              <w:t>Moteur de requête</w:t>
            </w:r>
          </w:p>
        </w:tc>
        <w:tc>
          <w:tcPr>
            <w:tcW w:type="dxa" w:w="3137"/>
          </w:tcPr>
          <w:p>
            <w:r/>
            <w:r>
              <w:rPr>
                <w:sz w:val="19"/>
              </w:rPr>
              <w:t>DuckDB (fichier local)</w:t>
            </w:r>
          </w:p>
        </w:tc>
        <w:tc>
          <w:tcPr>
            <w:tcW w:type="dxa" w:w="3137"/>
          </w:tcPr>
          <w:p>
            <w:r/>
            <w:r>
              <w:rPr>
                <w:sz w:val="19"/>
              </w:rPr>
              <w:t>Copie en lecture seule des données, régénérée à chaque rafraîchissement — le moteur de tableaux de bord n'interroge que du SQL.</w:t>
            </w:r>
          </w:p>
        </w:tc>
      </w:tr>
      <w:tr>
        <w:trPr>
          <w:cantSplit/>
        </w:trPr>
        <w:tc>
          <w:tcPr>
            <w:tcW w:type="dxa" w:w="3137"/>
            <w:shd w:fill="FAFAF8"/>
          </w:tcPr>
          <w:p>
            <w:r/>
            <w:r>
              <w:rPr>
                <w:sz w:val="19"/>
              </w:rPr>
              <w:t>Frontend</w:t>
            </w:r>
          </w:p>
        </w:tc>
        <w:tc>
          <w:tcPr>
            <w:tcW w:type="dxa" w:w="3137"/>
            <w:shd w:fill="FAFAF8"/>
          </w:tcPr>
          <w:p>
            <w:r/>
            <w:r>
              <w:rPr>
                <w:sz w:val="19"/>
              </w:rPr>
              <w:t>Vite + React</w:t>
            </w:r>
          </w:p>
        </w:tc>
        <w:tc>
          <w:tcPr>
            <w:tcW w:type="dxa" w:w="3137"/>
            <w:shd w:fill="FAFAF8"/>
          </w:tcPr>
          <w:p>
            <w:r/>
            <w:r>
              <w:rPr>
                <w:sz w:val="19"/>
              </w:rPr>
              <w:t>Interface de chat réactive, build optimisé pour un déploiement local.</w:t>
            </w:r>
          </w:p>
        </w:tc>
      </w:tr>
      <w:tr>
        <w:trPr>
          <w:cantSplit/>
        </w:trPr>
        <w:tc>
          <w:tcPr>
            <w:tcW w:type="dxa" w:w="3137"/>
          </w:tcPr>
          <w:p>
            <w:r/>
            <w:r>
              <w:rPr>
                <w:sz w:val="19"/>
              </w:rPr>
              <w:t>Planification des tâches</w:t>
            </w:r>
          </w:p>
        </w:tc>
        <w:tc>
          <w:tcPr>
            <w:tcW w:type="dxa" w:w="3137"/>
          </w:tcPr>
          <w:p>
            <w:r/>
            <w:r>
              <w:rPr>
                <w:sz w:val="19"/>
              </w:rPr>
              <w:t>APScheduler</w:t>
            </w:r>
          </w:p>
        </w:tc>
        <w:tc>
          <w:tcPr>
            <w:tcW w:type="dxa" w:w="3137"/>
          </w:tcPr>
          <w:p>
            <w:r/>
            <w:r>
              <w:rPr>
                <w:sz w:val="19"/>
              </w:rPr>
              <w:t>Exécution fiable des vérifications quotidiennes (alertes deadlines, rafraîchissement des données) sans dépendance externe.</w:t>
            </w:r>
          </w:p>
        </w:tc>
      </w:tr>
      <w:tr>
        <w:trPr>
          <w:cantSplit/>
        </w:trPr>
        <w:tc>
          <w:tcPr>
            <w:tcW w:type="dxa" w:w="3137"/>
            <w:shd w:fill="FAFAF8"/>
          </w:tcPr>
          <w:p>
            <w:r/>
            <w:r>
              <w:rPr>
                <w:sz w:val="19"/>
              </w:rPr>
              <w:t>Envoi d'emails</w:t>
            </w:r>
          </w:p>
        </w:tc>
        <w:tc>
          <w:tcPr>
            <w:tcW w:type="dxa" w:w="3137"/>
            <w:shd w:fill="FAFAF8"/>
          </w:tcPr>
          <w:p>
            <w:r/>
            <w:r>
              <w:rPr>
                <w:sz w:val="19"/>
              </w:rPr>
              <w:t>SMTP Gmail (STARTTLS)</w:t>
            </w:r>
          </w:p>
        </w:tc>
        <w:tc>
          <w:tcPr>
            <w:tcW w:type="dxa" w:w="3137"/>
            <w:shd w:fill="FAFAF8"/>
          </w:tcPr>
          <w:p>
            <w:r/>
            <w:r>
              <w:rPr>
                <w:sz w:val="19"/>
              </w:rPr>
              <w:t>Solution simple et gratuite pour un usage interne, sans infrastructure d'envoi supplémentaire à maintenir.</w:t>
            </w:r>
          </w:p>
        </w:tc>
      </w:tr>
      <w:tr>
        <w:trPr>
          <w:cantSplit/>
        </w:trPr>
        <w:tc>
          <w:tcPr>
            <w:tcW w:type="dxa" w:w="3137"/>
          </w:tcPr>
          <w:p>
            <w:r/>
            <w:r>
              <w:rPr>
                <w:sz w:val="19"/>
              </w:rPr>
              <w:t>Tests</w:t>
            </w:r>
          </w:p>
        </w:tc>
        <w:tc>
          <w:tcPr>
            <w:tcW w:type="dxa" w:w="3137"/>
          </w:tcPr>
          <w:p>
            <w:r/>
            <w:r>
              <w:rPr>
                <w:sz w:val="19"/>
              </w:rPr>
              <w:t>pytest (680 tests)</w:t>
            </w:r>
          </w:p>
        </w:tc>
        <w:tc>
          <w:tcPr>
            <w:tcW w:type="dxa" w:w="3137"/>
          </w:tcPr>
          <w:p>
            <w:r/>
            <w:r>
              <w:rPr>
                <w:sz w:val="19"/>
              </w:rPr>
              <w:t>Suite automatisée sans dépendance réseau ni données réelles (mocks), garde-fou contre les régressions.</w:t>
            </w:r>
          </w:p>
        </w:tc>
      </w:tr>
    </w:tbl>
    <w:p/>
    <w:p>
      <w:r>
        <w:rPr>
          <w:b w:val="0"/>
          <w:i w:val="0"/>
        </w:rPr>
        <w:t>Côté données, l'ensemble tient dans une seule feuille de calcul : environ 360 opportunités commerciales décrites par 18 colonnes (pays, practice, statut, budget, échéance…). Ce volume tient sans difficulté en mémoire, ce qui rend toute base de données inutile — un choix qui simplifie radicalement l'installation et la maintenance, et qui reste valable tant que le portefeuille ne change pas d'ordre de grandeur.</w:t>
      </w:r>
    </w:p>
    <w:p>
      <w:pPr>
        <w:keepNext/>
        <w:spacing w:before="400" w:after="200"/>
        <w:pBdr>
          <w:bottom w:val="single" w:sz="18" w:space="4" w:color="D42A45"/>
        </w:pBdr>
      </w:pPr>
      <w:r>
        <w:rPr>
          <w:b/>
          <w:color w:val="F2405A"/>
          <w:sz w:val="36"/>
        </w:rPr>
        <w:t>7. Sécurité et fiabilité</w:t>
      </w:r>
    </w:p>
    <w:p>
      <w:pPr>
        <w:pStyle w:val="ListBullet"/>
      </w:pPr>
      <w:r>
        <w:t>Aucune clé API ni identifiant n'est versionné dans le code source (fichier .env exclu du dépôt git).</w:t>
      </w:r>
    </w:p>
    <w:p>
      <w:pPr>
        <w:pStyle w:val="ListBullet"/>
      </w:pPr>
      <w:r>
        <w:t>Le LLM ne peut désigner que les colonnes et valeurs d'une liste blanche explicite — il n'écrit jamais lui-même de requête.</w:t>
      </w:r>
    </w:p>
    <w:p>
      <w:pPr>
        <w:pStyle w:val="ListBullet"/>
      </w:pPr>
      <w:r>
        <w:t>Toute valeur de filtre non reconnue avec confiance déclenche une demande de clarification plutôt qu'une hypothèse silencieuse.</w:t>
      </w:r>
    </w:p>
    <w:p>
      <w:pPr>
        <w:pStyle w:val="ListBullet"/>
      </w:pPr>
      <w:r>
        <w:t>680 tests automatisés couvrent la compréhension du langage, le requêtage des données, la génération des tableaux de bord et le système d'alerte.</w:t>
      </w:r>
    </w:p>
    <w:p>
      <w:pPr>
        <w:pStyle w:val="ListBullet"/>
      </w:pPr>
      <w:r>
        <w:t>Le mot de passe d'envoi d'email est un mot de passe d'application dédié (jamais le mot de passe principal du compte), également hors du dépôt git.</w:t>
      </w:r>
    </w:p>
    <w:p>
      <w:pPr>
        <w:pStyle w:val="ListBullet"/>
      </w:pPr>
      <w:r>
        <w:t>La lecture du Sheet ne passe par aucun identifiant (lien d'export public) — ni clé API à protéger, ni fichier de compte de service, l'application n'en utilise plus aucun.</w:t>
      </w:r>
    </w:p>
    <w:p>
      <w:pPr>
        <w:keepNext/>
        <w:spacing w:before="400" w:after="200"/>
        <w:pBdr>
          <w:bottom w:val="single" w:sz="18" w:space="4" w:color="D42A45"/>
        </w:pBdr>
      </w:pPr>
      <w:r>
        <w:rPr>
          <w:b/>
          <w:color w:val="F2405A"/>
          <w:sz w:val="36"/>
        </w:rPr>
        <w:t>8. Preuve de fonctionnement — alertes deadlines</w:t>
      </w:r>
    </w:p>
    <w:p>
      <w:r>
        <w:rPr>
          <w:b w:val="0"/>
          <w:i w:val="0"/>
        </w:rPr>
        <w:t>Capture d'écran ci-dessous : email de rappel automatique réellement reçu, listant les opportunités actives dont l'échéance tombait dans les 7 jours suivants au moment de l'envoi (5 et 7 jours restants), avec pays, practice, statut et budget pour chacune.</w:t>
      </w:r>
    </w:p>
    <w:p>
      <w:pPr>
        <w:jc w:val="center"/>
      </w:pPr>
      <w:r>
        <w:drawing>
          <wp:inline xmlns:a="http://schemas.openxmlformats.org/drawingml/2006/main" xmlns:pic="http://schemas.openxmlformats.org/drawingml/2006/picture">
            <wp:extent cx="5760720" cy="1598492"/>
            <wp:docPr id="2" name="Picture 2"/>
            <wp:cNvGraphicFramePr>
              <a:graphicFrameLocks noChangeAspect="1"/>
            </wp:cNvGraphicFramePr>
            <a:graphic>
              <a:graphicData uri="http://schemas.openxmlformats.org/drawingml/2006/picture">
                <pic:pic>
                  <pic:nvPicPr>
                    <pic:cNvPr id="0" name="email_proof.png"/>
                    <pic:cNvPicPr/>
                  </pic:nvPicPr>
                  <pic:blipFill>
                    <a:blip r:embed="rId10"/>
                    <a:stretch>
                      <a:fillRect/>
                    </a:stretch>
                  </pic:blipFill>
                  <pic:spPr>
                    <a:xfrm>
                      <a:off x="0" y="0"/>
                      <a:ext cx="5760720" cy="1598492"/>
                    </a:xfrm>
                    <a:prstGeom prst="rect"/>
                  </pic:spPr>
                </pic:pic>
              </a:graphicData>
            </a:graphic>
          </wp:inline>
        </w:drawing>
      </w:r>
    </w:p>
    <w:p>
      <w:pPr>
        <w:jc w:val="center"/>
      </w:pPr>
      <w:r>
        <w:rPr>
          <w:i/>
          <w:color w:val="52514E"/>
          <w:sz w:val="18"/>
        </w:rPr>
        <w:t>Email d'alerte reçu dans la boîte de réception — preuve de bon fonctionnement.</w:t>
      </w:r>
    </w:p>
    <w:p>
      <w:pPr>
        <w:keepNext/>
        <w:spacing w:before="400" w:after="200"/>
        <w:pBdr>
          <w:bottom w:val="single" w:sz="18" w:space="4" w:color="D42A45"/>
        </w:pBdr>
      </w:pPr>
      <w:r>
        <w:rPr>
          <w:b/>
          <w:color w:val="F2405A"/>
          <w:sz w:val="36"/>
        </w:rPr>
        <w:t>9. Déploiement sur un nouveau poste</w:t>
      </w:r>
    </w:p>
    <w:p>
      <w:r>
        <w:rPr>
          <w:b w:val="0"/>
          <w:i w:val="0"/>
        </w:rPr>
        <w:t>L'application s'installe sur un poste Windows par un seul fichier, INSTALLER.bat, à double-cliquer. Il installe lui-même Docker Desktop (qui fait tourner l'application dans des conteneurs isolés) et Ollama (le modèle de langage, exécuté localement), télécharge le modèle, construit et démarre l'application, crée un raccourci sur le Bureau, puis vérifie que les chiffres affichés sont justes en les recalculant indépendamment depuis le Google Sheet. La personne qui installe ne saisit que deux valeurs : le lien de la feuille et le nom de son onglet.</w:t>
      </w:r>
    </w:p>
    <w:p>
      <w:r>
        <w:rPr>
          <w:b w:val="0"/>
          <w:i w:val="0"/>
        </w:rPr>
        <w:t>Seul Git doit être installé au préalable, pour récupérer le projet. Le script est rejouable : interrompu (par un redémarrage de Windows, par exemple), il reprend exactement là où il s'était arrêté.</w:t>
      </w:r>
    </w:p>
    <w:p>
      <w:pPr>
        <w:keepNext/>
        <w:spacing w:before="280" w:after="120"/>
      </w:pPr>
      <w:r>
        <w:rPr>
          <w:b/>
          <w:color w:val="242422"/>
          <w:sz w:val="27"/>
        </w:rPr>
        <w:t>Conditions à réunir sur le poste</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shd w:fill="F2405A"/>
          </w:tcPr>
          <w:p>
            <w:r/>
            <w:r>
              <w:rPr>
                <w:b/>
                <w:color w:val="FFFFFF"/>
                <w:sz w:val="19"/>
              </w:rPr>
              <w:t>Condition</w:t>
            </w:r>
          </w:p>
        </w:tc>
        <w:tc>
          <w:tcPr>
            <w:tcW w:type="dxa" w:w="4706"/>
            <w:shd w:fill="F2405A"/>
          </w:tcPr>
          <w:p>
            <w:r/>
            <w:r>
              <w:rPr>
                <w:b/>
                <w:color w:val="FFFFFF"/>
                <w:sz w:val="19"/>
              </w:rPr>
              <w:t>Pourquoi</w:t>
            </w:r>
          </w:p>
        </w:tc>
      </w:tr>
      <w:tr>
        <w:trPr>
          <w:cantSplit/>
        </w:trPr>
        <w:tc>
          <w:tcPr>
            <w:tcW w:type="dxa" w:w="4706"/>
          </w:tcPr>
          <w:p>
            <w:r/>
            <w:r>
              <w:rPr>
                <w:sz w:val="19"/>
              </w:rPr>
              <w:t>Droits administrateur (ou un technicien présent)</w:t>
            </w:r>
          </w:p>
        </w:tc>
        <w:tc>
          <w:tcPr>
            <w:tcW w:type="dxa" w:w="4706"/>
          </w:tcPr>
          <w:p>
            <w:r/>
            <w:r>
              <w:rPr>
                <w:sz w:val="19"/>
              </w:rPr>
              <w:t>L'installation du sous-système Linux de Windows (WSL2), sur lequel tourne Docker Desktop, demande une élévation.</w:t>
            </w:r>
          </w:p>
        </w:tc>
      </w:tr>
      <w:tr>
        <w:trPr>
          <w:cantSplit/>
        </w:trPr>
        <w:tc>
          <w:tcPr>
            <w:tcW w:type="dxa" w:w="4706"/>
            <w:shd w:fill="FAFAF8"/>
          </w:tcPr>
          <w:p>
            <w:r/>
            <w:r>
              <w:rPr>
                <w:sz w:val="19"/>
              </w:rPr>
              <w:t>Windows 11 23H2 ou plus récent (ou Windows 10 22H2), 64 bits</w:t>
            </w:r>
          </w:p>
        </w:tc>
        <w:tc>
          <w:tcPr>
            <w:tcW w:type="dxa" w:w="4706"/>
            <w:shd w:fill="FAFAF8"/>
          </w:tcPr>
          <w:p>
            <w:r/>
            <w:r>
              <w:rPr>
                <w:sz w:val="19"/>
              </w:rPr>
              <w:t>Version minimale exigée par Docker Desktop.</w:t>
            </w:r>
          </w:p>
        </w:tc>
      </w:tr>
      <w:tr>
        <w:trPr>
          <w:cantSplit/>
        </w:trPr>
        <w:tc>
          <w:tcPr>
            <w:tcW w:type="dxa" w:w="4706"/>
          </w:tcPr>
          <w:p>
            <w:r/>
            <w:r>
              <w:rPr>
                <w:sz w:val="19"/>
              </w:rPr>
              <w:t>Virtualisation activée dans le BIOS</w:t>
            </w:r>
          </w:p>
        </w:tc>
        <w:tc>
          <w:tcPr>
            <w:tcW w:type="dxa" w:w="4706"/>
          </w:tcPr>
          <w:p>
            <w:r/>
            <w:r>
              <w:rPr>
                <w:sz w:val="19"/>
              </w:rPr>
              <w:t>Docker Desktop en dépend.</w:t>
            </w:r>
          </w:p>
        </w:tc>
      </w:tr>
      <w:tr>
        <w:trPr>
          <w:cantSplit/>
        </w:trPr>
        <w:tc>
          <w:tcPr>
            <w:tcW w:type="dxa" w:w="4706"/>
            <w:shd w:fill="FAFAF8"/>
          </w:tcPr>
          <w:p>
            <w:r/>
            <w:r>
              <w:rPr>
                <w:sz w:val="19"/>
              </w:rPr>
              <w:t>~20 Go libres, 16 Go de RAM conseillés</w:t>
            </w:r>
          </w:p>
        </w:tc>
        <w:tc>
          <w:tcPr>
            <w:tcW w:type="dxa" w:w="4706"/>
            <w:shd w:fill="FAFAF8"/>
          </w:tcPr>
          <w:p>
            <w:r/>
            <w:r>
              <w:rPr>
                <w:sz w:val="19"/>
              </w:rPr>
              <w:t>~9 Go de téléchargements ; le modèle occupe ~5 Go de mémoire.</w:t>
            </w:r>
          </w:p>
        </w:tc>
      </w:tr>
      <w:tr>
        <w:trPr>
          <w:cantSplit/>
        </w:trPr>
        <w:tc>
          <w:tcPr>
            <w:tcW w:type="dxa" w:w="4706"/>
          </w:tcPr>
          <w:p>
            <w:r/>
            <w:r>
              <w:rPr>
                <w:sz w:val="19"/>
              </w:rPr>
              <w:t>Accès Internet non filtré</w:t>
            </w:r>
          </w:p>
        </w:tc>
        <w:tc>
          <w:tcPr>
            <w:tcW w:type="dxa" w:w="4706"/>
          </w:tcPr>
          <w:p>
            <w:r/>
            <w:r>
              <w:rPr>
                <w:sz w:val="19"/>
              </w:rPr>
              <w:t>GitHub, Docker, Ollama, Bruin, PyPI, npm et Google doivent être joignables pendant l'installation.</w:t>
            </w:r>
          </w:p>
        </w:tc>
      </w:tr>
      <w:tr>
        <w:trPr>
          <w:cantSplit/>
        </w:trPr>
        <w:tc>
          <w:tcPr>
            <w:tcW w:type="dxa" w:w="4706"/>
            <w:shd w:fill="FAFAF8"/>
          </w:tcPr>
          <w:p>
            <w:r/>
            <w:r>
              <w:rPr>
                <w:sz w:val="19"/>
              </w:rPr>
              <w:t>Licence Docker Desktop</w:t>
            </w:r>
          </w:p>
        </w:tc>
        <w:tc>
          <w:tcPr>
            <w:tcW w:type="dxa" w:w="4706"/>
            <w:shd w:fill="FAFAF8"/>
          </w:tcPr>
          <w:p>
            <w:r/>
            <w:r>
              <w:rPr>
                <w:sz w:val="19"/>
              </w:rPr>
              <w:t>Gratuite sous 250 personnes et 10 M$ de chiffre d'affaires ; au-delà, abonnement payant — à valider pour Devoteam.</w:t>
            </w:r>
          </w:p>
        </w:tc>
      </w:tr>
    </w:tbl>
    <w:p/>
    <w:p>
      <w:r>
        <w:rPr>
          <w:b w:val="0"/>
          <w:i w:val="0"/>
        </w:rPr>
        <w:t>Durée sur un poste neuf : 45 minutes à 1 h 30, essentiellement des téléchargements sans surveillance, plus trois redémarrages de Windows.</w:t>
      </w:r>
    </w:p>
    <w:p>
      <w:pPr>
        <w:keepNext/>
        <w:spacing w:before="280" w:after="120"/>
      </w:pPr>
      <w:r>
        <w:rPr>
          <w:b/>
          <w:color w:val="242422"/>
          <w:sz w:val="27"/>
        </w:rPr>
        <w:t>Vérification de livraison (5 octobre 2026)</w:t>
      </w:r>
    </w:p>
    <w:p>
      <w:r>
        <w:rPr>
          <w:b w:val="0"/>
          <w:i w:val="0"/>
        </w:rPr>
        <w:t>La version publiée a été installée depuis zéro avant d'être confiée : dossier récupéré depuis GitHub comme le ferait un nouveau poste, image reconstruite sans aucun cache, installateur réel exécuté de bout en bout. Résultat : sept étapes sur sept, quinze contrôles de justesse sur quinze (« TOUT EST JUSTE »), et la suite de 633 tests automatisés au vert. Les branches propres à un poste vierge (installation de Docker et d'Ollama sans le gestionnaire de paquets de Windows, diagnostic du sous-système WSL2) ont été éprouvées sur un Windows 11 neuf en machine virtuelle.</w:t>
      </w:r>
    </w:p>
    <w:p>
      <w:pPr>
        <w:keepNext/>
        <w:spacing w:before="400" w:after="200"/>
        <w:pBdr>
          <w:bottom w:val="single" w:sz="18" w:space="4" w:color="D42A45"/>
        </w:pBdr>
      </w:pPr>
      <w:r>
        <w:rPr>
          <w:b/>
          <w:color w:val="F2405A"/>
          <w:sz w:val="36"/>
        </w:rPr>
        <w:t>10. État d'avancement et roadmap</w:t>
      </w:r>
    </w:p>
    <w:p>
      <w:r>
        <w:rPr>
          <w:b w:val="0"/>
          <w:i w:val="0"/>
        </w:rPr>
        <w:t>L'application est complète et fonctionnelle de bout en bout, en hébergement local. Quarante-huit phases de développement ont été livrées, de la mise en place du backend jusqu'à la génération automatique de tableaux de bord complets à partir d'une question — en passant par la suppression de la base de données au profit d'une lecture directe du Google Sheet.</w:t>
      </w:r>
    </w:p>
    <w:p>
      <w:pPr>
        <w:keepNext/>
        <w:spacing w:before="280" w:after="120"/>
      </w:pPr>
      <w:r>
        <w:rPr>
          <w:b/>
          <w:color w:val="242422"/>
          <w:sz w:val="27"/>
        </w:rPr>
        <w:t>Améliorations envisagées (hors périmètre actuel)</w:t>
      </w:r>
    </w:p>
    <w:p>
      <w:pPr>
        <w:pStyle w:val="ListBullet"/>
      </w:pPr>
      <w:r>
        <w:t>Authentification et gestion multi-utilisateurs (restriction par practice/BU).</w:t>
      </w:r>
    </w:p>
    <w:p>
      <w:pPr>
        <w:pStyle w:val="ListBullet"/>
      </w:pPr>
      <w:r>
        <w:t>Épinglage des tableaux de bord générés : permettre à l'utilisateur de conserver et renommer un tableau de bord produit par l'IA, pour en faire un véritable atelier de création.</w:t>
      </w:r>
    </w:p>
    <w:p>
      <w:pPr>
        <w:pStyle w:val="ListBullet"/>
      </w:pPr>
      <w:r>
        <w:t>Couche sémantique : définir les métriques une seule fois et les réutiliser dans tous les tableaux de bord, plutôt que de générer chaque requête isolément.</w:t>
      </w:r>
    </w:p>
    <w:p>
      <w:pPr>
        <w:pStyle w:val="ListBullet"/>
      </w:pPr>
      <w:r>
        <w:t>Suivi analytique des sessions utilisateur.</w:t>
      </w:r>
    </w:p>
    <w:p>
      <w:pPr>
        <w:keepNext/>
        <w:spacing w:before="400" w:after="200"/>
        <w:pBdr>
          <w:bottom w:val="single" w:sz="18" w:space="4" w:color="D42A45"/>
        </w:pBdr>
      </w:pPr>
      <w:r>
        <w:rPr>
          <w:b/>
          <w:color w:val="F2405A"/>
          <w:sz w:val="36"/>
        </w:rPr>
        <w:t>11. Conclusion</w:t>
      </w:r>
    </w:p>
    <w:p>
      <w:r>
        <w:rPr>
          <w:b w:val="0"/>
          <w:i w:val="0"/>
        </w:rPr>
        <w:t>DevoTeam Dashboard transforme une problématique classique de BI (accès aux données commerciales, suivi des échéances) en une expérience conversationnelle fiable, à la fois simple d'usage pour les équipes commerciales et rigoureuse dans sa conception technique (validation stricte, tests automatisés, traçabilité des résultats). Les alertes deadlines par email et dans l'interface répondent directement au risque métier identifié : ne plus jamais manquer une échéance commerciale faute d'avoir consulté le dashboard à temps.</w:t>
      </w:r>
    </w:p>
    <w:p>
      <w:r>
        <w:rPr>
          <w:b w:val="0"/>
          <w:i w:val="0"/>
        </w:rPr>
        <w:t>Trois partis pris résument le projet. Les données restent là où les équipes les gèrent déjà — un Google Sheet — ce qui supprime toute base à administrer. Les tableaux de bord sont du code versionné, donc relisibles et reproductibles plutôt que configurés à la souris par une seule personne. Et l'intelligence artificielle sert à comprendre la question, jamais à produire les chiffres : cette frontière est ce qui rend l'outil utilisable pour de vraies décisions commerciales.</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