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construit instantanément un tableau de bord complet qui y répond — plusieurs graphiques, chiffres clés et tableaux, tous cohérents entre eux, à partir des données réelles des opportunités commerciales.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composition automatique de tableaux de bord versionnés, et un système d'alerte proactive par email et dans l'interface pour les opportunités dont l'échéance approche.</w:t>
      </w:r>
    </w:p>
    <w:p>
      <w:r>
        <w:rPr>
          <w:b w:val="0"/>
          <w:i w:val="0"/>
        </w:rPr>
        <w:t>Particularité assumée : les données vivent dans un simple Google Sheet, que les équipes commerciales éditent elles-mêmes. L'application n'a aucune base de données à installer, sauvegarder ou administrer — un choix qui réduit fortement le coût d'exploitation pour un portefeuille de cette taille.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r>
        <w:rPr>
          <w:b w:val="0"/>
          <w:i w:val="0"/>
        </w:rPr>
        <w:t>Enfin, plutôt que de livrer un graphique isolé par question, l'application compose un tableau de bord entier : le chiffre demandé, le même chiffre sous un autre angle, l'état du pipeline et le détail vérifiable — de quoi non seulement répondre à la question posée, mais aussi susciter la suivante.</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Un dashboard complet par question</w:t>
      </w:r>
    </w:p>
    <w:p>
      <w:r>
        <w:rPr>
          <w:b w:val="0"/>
          <w:i w:val="0"/>
        </w:rPr>
        <w:t>Une question ne produit pas un graphique isolé mais un tableau de bord entier : cinq à sept visualisations qui répondent ensemble, et qui partagent toutes les mêmes filtres — l'utilisateur regarde donc un périmètre cohérent, jamais des chiffres qui ne se comparent pas entre eux.</w:t>
      </w:r>
    </w:p>
    <w:p>
      <w:pPr>
        <w:pStyle w:val="ListBullet"/>
      </w:pPr>
      <w:r>
        <w:t>Les totaux du périmètre interrogé (budget, nombre d'opportunités, montant pondéré) en cartes chiffrées.</w:t>
      </w:r>
    </w:p>
    <w:p>
      <w:pPr>
        <w:pStyle w:val="ListBullet"/>
      </w:pPr>
      <w:r>
        <w:t>Le graphique qui répond directement à la question posée.</w:t>
      </w:r>
    </w:p>
    <w:p>
      <w:pPr>
        <w:pStyle w:val="ListBullet"/>
      </w:pPr>
      <w:r>
        <w:t>Le même chiffre vu sous un autre angle (une dimension complémentaire, choisie pour ne jamais dupliquer un axe déjà filtré).</w:t>
      </w:r>
    </w:p>
    <w:p>
      <w:pPr>
        <w:pStyle w:val="ListBullet"/>
      </w:pPr>
      <w:r>
        <w:t>L'état du pipeline commercial sur ce périmètre.</w:t>
      </w:r>
    </w:p>
    <w:p>
      <w:pPr>
        <w:pStyle w:val="ListBullet"/>
      </w:pPr>
      <w:r>
        <w:t>Le détail ligne par ligne, pour vérifier les chiffres.</w:t>
      </w:r>
    </w:p>
    <w:p>
      <w:r>
        <w:rPr>
          <w:b w:val="0"/>
          <w:i w:val="0"/>
        </w:rPr>
        <w:t>La page d'accueil, elle, est un tableau de bord fixe répondant aux cinq questions les plus fréquentes, avec un filtre interactif par practice qui recalcule instantanément l'ensemble des visualisations.</w:t>
      </w:r>
    </w:p>
    <w:p>
      <w:pPr>
        <w:pStyle w:val="ListBullet"/>
      </w:pPr>
      <w:r>
        <w:t>Neuf types de rendu disponibles : barres, courbes, aires, camemberts, cartes chiffrées, tableaux, entonnoir de vente, nuage de points et carte de chaleur.</w:t>
      </w:r>
    </w:p>
    <w:p>
      <w:pPr>
        <w:pStyle w:val="ListBullet"/>
      </w:pPr>
      <w:r>
        <w:t>Entonnoir de vente : opportunités par étape du pipeline, dans l'ordre réel du cycle de vente — visualise directement où les deals se perdent.</w:t>
      </w:r>
    </w:p>
    <w:p>
      <w:pPr>
        <w:pStyle w:val="ListBullet"/>
      </w:pPr>
      <w:r>
        <w:t>Nuage de points : budget vs probabilité de gain — révèle si les gros budgets ont statistiquement plus de chances d'être gagnés.</w:t>
      </w:r>
    </w:p>
    <w:p>
      <w:pPr>
        <w:keepNext/>
        <w:spacing w:before="280" w:after="120"/>
      </w:pPr>
      <w:r>
        <w:rPr>
          <w:b/>
          <w:color w:val="242422"/>
          <w:sz w:val="27"/>
        </w:rPr>
        <w:t>4.3 Tableaux de bord « as code »</w:t>
      </w:r>
    </w:p>
    <w:p>
      <w:r>
        <w:rPr>
          <w:b w:val="0"/>
          <w:i w:val="0"/>
        </w:rPr>
        <w:t>Les tableaux de bord ne sont pas configurés dans une interface graphique mais décrits dans des fichiers texte versionnés (Bruin DAC). Conséquence concrète : toute évolution d'un tableau de bord passe en revue comme du code, se compare d'une version à l'autre, et se reproduit à l'identique sur n'importe quel poste.</w:t>
      </w:r>
    </w:p>
    <w:p>
      <w:pPr>
        <w:pStyle w:val="ListBullet"/>
      </w:pPr>
      <w:r>
        <w:t>Les tableaux de bord générés par le chat le sont dans le même format que ceux écrits à la main — un tableau de bord produit par l'IA peut donc être relu, corrigé et conservé comme n'importe quel autre.</w:t>
      </w:r>
    </w:p>
    <w:p>
      <w:pPr>
        <w:pStyle w:val="ListBullet"/>
      </w:pPr>
      <w:r>
        <w:t>Deux commandes de contrôle : l'une vérifie la structure, l'autre exécute réellement chaque requête pour confirmer qu'aucun widget n'est cassé.</w:t>
      </w:r>
    </w:p>
    <w:p>
      <w:pPr>
        <w:pStyle w:val="ListBullet"/>
      </w:pPr>
      <w:r>
        <w:t>Le tableau de bord principal est découpé en cinq sections — offres remises, affaires chaudes, santé du portefeuille, pipeline, échéances — accessibles par une barre d'onglets. Chacune affiche en sous-titre la question à laquelle elle répond, et un bouton ramène au point de départ depuis n'importe quel écran.</w:t>
      </w:r>
    </w:p>
    <w:p>
      <w:pPr>
        <w:pStyle w:val="ListBullet"/>
      </w:pPr>
      <w:r>
        <w:t>Quand une section porte déjà la réponse à la question posée, elle s'ouvre filtrée comme demandé au lieu qu'un tableau de bord soit créé : l'utilisateur reste sur une page qu'il connaît, et le chiffre affiché provient d'un widget relu en revue.</w:t>
      </w:r>
    </w:p>
    <w:p>
      <w:pPr>
        <w:keepNext/>
        <w:spacing w:before="280" w:after="120"/>
      </w:pPr>
      <w:r>
        <w:rPr>
          <w:b/>
          <w:color w:val="242422"/>
          <w:sz w:val="27"/>
        </w:rPr>
        <w:t>4.4 Alertes deadlines</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à chaque chargement des données à partir de la date réelle du jour, pour ne jamais afficher un chiffre obsolète.</w:t>
      </w:r>
    </w:p>
    <w:p>
      <w:pPr>
        <w:keepNext/>
        <w:spacing w:before="280" w:after="120"/>
      </w:pPr>
      <w:r>
        <w:rPr>
          <w:b/>
          <w:color w:val="242422"/>
          <w:sz w:val="27"/>
        </w:rPr>
        <w:t>4.5 Le Google Sheet comme source de données</w:t>
      </w:r>
    </w:p>
    <w:p>
      <w:pPr>
        <w:pStyle w:val="ListBullet"/>
      </w:pPr>
      <w:r>
        <w:t>Les équipes gèrent les opportunités dans un Google Sheet — un outil qu'elles maîtrisent déjà — plutôt que dans une base de données : ajouter ou corriger une opportunité ne demande aucune compétence technique.</w:t>
      </w:r>
    </w:p>
    <w:p>
      <w:pPr>
        <w:pStyle w:val="ListBullet"/>
      </w:pPr>
      <w:r>
        <w:t>L'application lit le Sheet directement et le recharge toutes les 15 minutes, au démarrage, et à la demande via un bouton dans l'interface. Aucune base de données à installer, à sauvegarder ou à administrer.</w:t>
      </w:r>
    </w:p>
    <w:p>
      <w:pPr>
        <w:pStyle w:val="ListBullet"/>
      </w:pPr>
      <w:r>
        <w:t>Chaque ligne est validée indépendamment (dates, montants, statuts) ; une ligne invalide est journalisée et ignorée, sans jamais bloquer le chargement des autres — c'est ce contrôle qui a révélé douze opportunités au statut erroné, passées inaperçues jusque-là.</w:t>
      </w:r>
    </w:p>
    <w:p>
      <w:pPr>
        <w:pStyle w:val="ListBullet"/>
      </w:pPr>
      <w:r>
        <w:t>Les colonnes calculées (mois et année d'échéance, jours restants, montant pondéré) sont toujours recalculées à la lecture puis réécrites dans le Sheet : elles ne peuvent donc jamais diverger des données saisies.</w:t>
      </w:r>
    </w:p>
    <w:p>
      <w:pPr>
        <w:keepNext/>
        <w:spacing w:before="280" w:after="120"/>
      </w:pPr>
      <w:r>
        <w:rPr>
          <w:b/>
          <w:color w:val="242422"/>
          <w:sz w:val="27"/>
        </w:rPr>
        <w:t>4.6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et non négociable : le LLM ne produit jamais directement un graphique, une requête ou un chiffre. Il transforme la question de l'utilisateur en une structure intermédiaire strictement validée (métrique, dimension, filtres, type de graphique…), et c'est ensuite du code déterministe qui la traduit en requêtes et en tableau de bord. Cette séparation garantit que tout ce qui s'affiche provient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Composition du tableau de bord</w:t>
            </w:r>
          </w:p>
        </w:tc>
        <w:tc>
          <w:tcPr>
            <w:tcW w:type="dxa" w:w="4706"/>
            <w:shd w:fill="FAFAF8"/>
          </w:tcPr>
          <w:p>
            <w:r/>
            <w:r>
              <w:rPr>
                <w:sz w:val="19"/>
              </w:rPr>
              <w:t>Des règles déterministes choisissent les cinq à sept visualisations qui répondent ensemble à la question, toutes filtrées à l'identique.</w:t>
            </w:r>
          </w:p>
        </w:tc>
      </w:tr>
      <w:tr>
        <w:tc>
          <w:tcPr>
            <w:tcW w:type="dxa" w:w="4706"/>
          </w:tcPr>
          <w:p>
            <w:r/>
            <w:r>
              <w:rPr>
                <w:sz w:val="19"/>
              </w:rPr>
              <w:t>5. Génération des requêtes</w:t>
            </w:r>
          </w:p>
        </w:tc>
        <w:tc>
          <w:tcPr>
            <w:tcW w:type="dxa" w:w="4706"/>
          </w:tcPr>
          <w:p>
            <w:r/>
            <w:r>
              <w:rPr>
                <w:sz w:val="19"/>
              </w:rPr>
              <w:t>Chaque visualisation reçoit sa requête, produite par du code à partir de l'intention validée — jamais écrite par le LLM.</w:t>
            </w:r>
          </w:p>
        </w:tc>
      </w:tr>
      <w:tr>
        <w:tc>
          <w:tcPr>
            <w:tcW w:type="dxa" w:w="4706"/>
            <w:shd w:fill="FAFAF8"/>
          </w:tcPr>
          <w:p>
            <w:r/>
            <w:r>
              <w:rPr>
                <w:sz w:val="19"/>
              </w:rPr>
              <w:t>6. Affichage</w:t>
            </w:r>
          </w:p>
        </w:tc>
        <w:tc>
          <w:tcPr>
            <w:tcW w:type="dxa" w:w="4706"/>
            <w:shd w:fill="FAFAF8"/>
          </w:tcPr>
          <w:p>
            <w:r/>
            <w:r>
              <w:rPr>
                <w:sz w:val="19"/>
              </w:rPr>
              <w:t>Le tableau de bord est décrit dans un fichier versionné, puis rendu à l'écran ; un message texte l'accompagne, calculé directement depuis les données.</w:t>
            </w:r>
          </w:p>
        </w:tc>
      </w:tr>
    </w:tbl>
    <w:p/>
    <w:p>
      <w:r>
        <w:rPr>
          <w:b w:val="0"/>
          <w:i w:val="0"/>
        </w:rPr>
        <w:t>L'alerte deadlines suit le même principe de fiabilité : la vérification des échéances repose sur un nombre de jours restants recalculé à chaque chargement des données depuis la date réelle du jour, sur un calendrier automatique indépendant de toute action utilisateur.</w:t>
      </w:r>
    </w:p>
    <w:p>
      <w:r>
        <w:rPr>
          <w:b w:val="0"/>
          <w:i w:val="0"/>
        </w:rPr>
        <w:t>Une seule source de vérité alimente l'ensemble : les données du Google Sheet, chargées en mémoire. Le moteur de tableaux de bord interroge une copie de cette même source, régénérée à chaque rafraîchissement — les chiffres du chat et ceux des tableaux de bord ne peuvent donc pas diverger.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Source de données</w:t>
            </w:r>
          </w:p>
        </w:tc>
        <w:tc>
          <w:tcPr>
            <w:tcW w:type="dxa" w:w="3137"/>
            <w:shd w:fill="FAFAF8"/>
          </w:tcPr>
          <w:p>
            <w:r/>
            <w:r>
              <w:rPr>
                <w:sz w:val="19"/>
              </w:rPr>
              <w:t>Google Sheets + pandas</w:t>
            </w:r>
          </w:p>
        </w:tc>
        <w:tc>
          <w:tcPr>
            <w:tcW w:type="dxa" w:w="3137"/>
            <w:shd w:fill="FAFAF8"/>
          </w:tcPr>
          <w:p>
            <w:r/>
            <w:r>
              <w:rPr>
                <w:sz w:val="19"/>
              </w:rPr>
              <w:t>Les équipes gèrent les opportunités dans un tableur familier ; l'application le charge en mémoire. Aucune base à installer ni administrer.</w:t>
            </w:r>
          </w:p>
        </w:tc>
      </w:tr>
      <w:tr>
        <w:tc>
          <w:tcPr>
            <w:tcW w:type="dxa" w:w="3137"/>
          </w:tcPr>
          <w:p>
            <w:r/>
            <w:r>
              <w:rPr>
                <w:sz w:val="19"/>
              </w:rPr>
              <w:t>Compréhension du langage</w:t>
            </w:r>
          </w:p>
        </w:tc>
        <w:tc>
          <w:tcPr>
            <w:tcW w:type="dxa" w:w="3137"/>
          </w:tcPr>
          <w:p>
            <w:r/>
            <w:r>
              <w:rPr>
                <w:sz w:val="19"/>
              </w:rPr>
              <w:t>Ollama (local) — qwen2.5:7b-instruct-q4_K_M</w:t>
            </w:r>
          </w:p>
        </w:tc>
        <w:tc>
          <w:tcPr>
            <w:tcW w:type="dxa" w:w="3137"/>
          </w:tcPr>
          <w:p>
            <w:r/>
            <w:r>
              <w:rPr>
                <w:sz w:val="19"/>
              </w:rPr>
              <w:t>Aucune clé API, aucun quota, sortie JSON complétée par une validation stricte côté serveur.</w:t>
            </w:r>
          </w:p>
        </w:tc>
      </w:tr>
      <w:tr>
        <w:tc>
          <w:tcPr>
            <w:tcW w:type="dxa" w:w="3137"/>
            <w:shd w:fill="FAFAF8"/>
          </w:tcPr>
          <w:p>
            <w:r/>
            <w:r>
              <w:rPr>
                <w:sz w:val="19"/>
              </w:rPr>
              <w:t>Tableaux de bord</w:t>
            </w:r>
          </w:p>
        </w:tc>
        <w:tc>
          <w:tcPr>
            <w:tcW w:type="dxa" w:w="3137"/>
            <w:shd w:fill="FAFAF8"/>
          </w:tcPr>
          <w:p>
            <w:r/>
            <w:r>
              <w:rPr>
                <w:sz w:val="19"/>
              </w:rPr>
              <w:t>Bruin DAC</w:t>
            </w:r>
          </w:p>
        </w:tc>
        <w:tc>
          <w:tcPr>
            <w:tcW w:type="dxa" w:w="3137"/>
            <w:shd w:fill="FAFAF8"/>
          </w:tcPr>
          <w:p>
            <w:r/>
            <w:r>
              <w:rPr>
                <w:sz w:val="19"/>
              </w:rPr>
              <w:t>Tableaux de bord décrits en fichiers versionnés plutôt que configurés à la souris : relus en revue, reproductibles, 21 types de graphiques.</w:t>
            </w:r>
          </w:p>
        </w:tc>
      </w:tr>
      <w:tr>
        <w:tc>
          <w:tcPr>
            <w:tcW w:type="dxa" w:w="3137"/>
          </w:tcPr>
          <w:p>
            <w:r/>
            <w:r>
              <w:rPr>
                <w:sz w:val="19"/>
              </w:rPr>
              <w:t>Moteur de requête</w:t>
            </w:r>
          </w:p>
        </w:tc>
        <w:tc>
          <w:tcPr>
            <w:tcW w:type="dxa" w:w="3137"/>
          </w:tcPr>
          <w:p>
            <w:r/>
            <w:r>
              <w:rPr>
                <w:sz w:val="19"/>
              </w:rPr>
              <w:t>DuckDB (fichier local)</w:t>
            </w:r>
          </w:p>
        </w:tc>
        <w:tc>
          <w:tcPr>
            <w:tcW w:type="dxa" w:w="3137"/>
          </w:tcPr>
          <w:p>
            <w:r/>
            <w:r>
              <w:rPr>
                <w:sz w:val="19"/>
              </w:rPr>
              <w:t>Copie en lecture seule des données, régénérée à chaque rafraîchissement — le moteur de tableaux de bord n'interroge que du SQL.</w:t>
            </w:r>
          </w:p>
        </w:tc>
      </w:tr>
      <w:tr>
        <w:tc>
          <w:tcPr>
            <w:tcW w:type="dxa" w:w="3137"/>
            <w:shd w:fill="FAFAF8"/>
          </w:tcPr>
          <w:p>
            <w:r/>
            <w:r>
              <w:rPr>
                <w:sz w:val="19"/>
              </w:rPr>
              <w:t>Frontend</w:t>
            </w:r>
          </w:p>
        </w:tc>
        <w:tc>
          <w:tcPr>
            <w:tcW w:type="dxa" w:w="3137"/>
            <w:shd w:fill="FAFAF8"/>
          </w:tcPr>
          <w:p>
            <w:r/>
            <w:r>
              <w:rPr>
                <w:sz w:val="19"/>
              </w:rPr>
              <w:t>Vite + React</w:t>
            </w:r>
          </w:p>
        </w:tc>
        <w:tc>
          <w:tcPr>
            <w:tcW w:type="dxa" w:w="3137"/>
            <w:shd w:fill="FAFAF8"/>
          </w:tcPr>
          <w:p>
            <w:r/>
            <w:r>
              <w:rPr>
                <w:sz w:val="19"/>
              </w:rPr>
              <w:t>Interface de chat réactive, build optimisé pour un déploiement local.</w:t>
            </w:r>
          </w:p>
        </w:tc>
      </w:tr>
      <w:tr>
        <w:tc>
          <w:tcPr>
            <w:tcW w:type="dxa" w:w="3137"/>
          </w:tcPr>
          <w:p>
            <w:r/>
            <w:r>
              <w:rPr>
                <w:sz w:val="19"/>
              </w:rPr>
              <w:t>Planification des tâches</w:t>
            </w:r>
          </w:p>
        </w:tc>
        <w:tc>
          <w:tcPr>
            <w:tcW w:type="dxa" w:w="3137"/>
          </w:tcPr>
          <w:p>
            <w:r/>
            <w:r>
              <w:rPr>
                <w:sz w:val="19"/>
              </w:rPr>
              <w:t>APScheduler</w:t>
            </w:r>
          </w:p>
        </w:tc>
        <w:tc>
          <w:tcPr>
            <w:tcW w:type="dxa" w:w="3137"/>
          </w:tcPr>
          <w:p>
            <w:r/>
            <w:r>
              <w:rPr>
                <w:sz w:val="19"/>
              </w:rPr>
              <w:t>Exécution fiable des vérifications quotidiennes (alertes deadlines, rafraîchissement des données) sans dépendance externe.</w:t>
            </w:r>
          </w:p>
        </w:tc>
      </w:tr>
      <w:tr>
        <w:tc>
          <w:tcPr>
            <w:tcW w:type="dxa" w:w="3137"/>
            <w:shd w:fill="FAFAF8"/>
          </w:tcPr>
          <w:p>
            <w:r/>
            <w:r>
              <w:rPr>
                <w:sz w:val="19"/>
              </w:rPr>
              <w:t>Envoi d'emails</w:t>
            </w:r>
          </w:p>
        </w:tc>
        <w:tc>
          <w:tcPr>
            <w:tcW w:type="dxa" w:w="3137"/>
            <w:shd w:fill="FAFAF8"/>
          </w:tcPr>
          <w:p>
            <w:r/>
            <w:r>
              <w:rPr>
                <w:sz w:val="19"/>
              </w:rPr>
              <w:t>SMTP Gmail (STARTTLS)</w:t>
            </w:r>
          </w:p>
        </w:tc>
        <w:tc>
          <w:tcPr>
            <w:tcW w:type="dxa" w:w="3137"/>
            <w:shd w:fill="FAFAF8"/>
          </w:tcPr>
          <w:p>
            <w:r/>
            <w:r>
              <w:rPr>
                <w:sz w:val="19"/>
              </w:rPr>
              <w:t>Solution simple et gratuite pour un usage interne, sans infrastructure d'envoi supplémentaire à maintenir.</w:t>
            </w:r>
          </w:p>
        </w:tc>
      </w:tr>
      <w:tr>
        <w:tc>
          <w:tcPr>
            <w:tcW w:type="dxa" w:w="3137"/>
          </w:tcPr>
          <w:p>
            <w:r/>
            <w:r>
              <w:rPr>
                <w:sz w:val="19"/>
              </w:rPr>
              <w:t>Tests</w:t>
            </w:r>
          </w:p>
        </w:tc>
        <w:tc>
          <w:tcPr>
            <w:tcW w:type="dxa" w:w="3137"/>
          </w:tcPr>
          <w:p>
            <w:r/>
            <w:r>
              <w:rPr>
                <w:sz w:val="19"/>
              </w:rPr>
              <w:t>pytest (629 tests)</w:t>
            </w:r>
          </w:p>
        </w:tc>
        <w:tc>
          <w:tcPr>
            <w:tcW w:type="dxa" w:w="3137"/>
          </w:tcPr>
          <w:p>
            <w:r/>
            <w:r>
              <w:rPr>
                <w:sz w:val="19"/>
              </w:rPr>
              <w:t>Suite automatisée sans dépendance réseau ni données réelles (mocks), garde-fou contre les régressions.</w:t>
            </w:r>
          </w:p>
        </w:tc>
      </w:tr>
    </w:tbl>
    <w:p/>
    <w:p>
      <w:r>
        <w:rPr>
          <w:b w:val="0"/>
          <w:i w:val="0"/>
        </w:rPr>
        <w:t>Côté données, l'ensemble tient dans une seule feuille de calcul : environ 360 opportunités commerciales décrites par 18 colonnes (pays, practice, statut, budget, échéance…). Ce volume tient sans difficulté en mémoire, ce qui rend toute base de données inutile — un choix qui simplifie radicalement l'installation et la maintenance, et qui reste valable tant que le portefeuille ne change pas d'ordre de grandeur.</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désigner que les colonnes et valeurs d'une liste blanche explicite — il n'écrit jamais lui-même de requête.</w:t>
      </w:r>
    </w:p>
    <w:p>
      <w:pPr>
        <w:pStyle w:val="ListBullet"/>
      </w:pPr>
      <w:r>
        <w:t>Toute valeur de filtre non reconnue avec confiance déclenche une demande de clarification plutôt qu'une hypothèse silencieuse.</w:t>
      </w:r>
    </w:p>
    <w:p>
      <w:pPr>
        <w:pStyle w:val="ListBullet"/>
      </w:pPr>
      <w:r>
        <w:t>629 tests automatisés couvrent la compréhension du langage, le requêtage des données, la génération des tableaux de bord et le système d'alerte.</w:t>
      </w:r>
    </w:p>
    <w:p>
      <w:pPr>
        <w:pStyle w:val="ListBullet"/>
      </w:pPr>
      <w:r>
        <w:t>Le mot de passe d'envoi d'email est un mot de passe d'application dédié (jamais le mot de passe principal du compte), également hors du dépôt git.</w:t>
      </w:r>
    </w:p>
    <w:p>
      <w:pPr>
        <w:pStyle w:val="ListBullet"/>
      </w:pPr>
      <w:r>
        <w:t>La lecture du Sheet ne passe par aucun identifiant (lien d'export public) — ni clé API à protéger, ni fichier de compte de service, l'application n'en utilise plus aucun.</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10. État d'avancement et roadmap</w:t>
      </w:r>
    </w:p>
    <w:p>
      <w:r>
        <w:rPr>
          <w:b w:val="0"/>
          <w:i w:val="0"/>
        </w:rPr>
        <w:t>L'application est complète et fonctionnelle de bout en bout, en hébergement local. Vingt-et-une phases de développement ont été livrées, de la mise en place du backend jusqu'à la génération automatique de tableaux de bord complets à partir d'une question — en passant par la suppression de la base de données au profit d'une lecture directe du Google Sheet.</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Épinglage des tableaux de bord générés : permettre à l'utilisateur de conserver et renommer un tableau de bord produit par l'IA, pour en faire un véritable atelier de création.</w:t>
      </w:r>
    </w:p>
    <w:p>
      <w:pPr>
        <w:pStyle w:val="ListBullet"/>
      </w:pPr>
      <w:r>
        <w:t>Couche sémantique : définir les métriques une seule fois et les réutiliser dans tous les tableaux de bord, plutôt que de générer chaque requête isolément.</w:t>
      </w:r>
    </w:p>
    <w:p>
      <w:pPr>
        <w:pStyle w:val="ListBullet"/>
      </w:pPr>
      <w:r>
        <w:t>Suivi analytique des sessions utilisateur.</w:t>
      </w:r>
    </w:p>
    <w:p>
      <w:pPr>
        <w:keepNext/>
        <w:spacing w:before="400" w:after="200"/>
        <w:pBdr>
          <w:bottom w:val="single" w:sz="18" w:space="4" w:color="D42A45"/>
        </w:pBdr>
      </w:pPr>
      <w:r>
        <w:rPr>
          <w:b/>
          <w:color w:val="F2405A"/>
          <w:sz w:val="36"/>
        </w:rPr>
        <w:t>11.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w:t>
      </w:r>
    </w:p>
    <w:p>
      <w:r>
        <w:rPr>
          <w:b w:val="0"/>
          <w:i w:val="0"/>
        </w:rPr>
        <w:t>Trois partis pris résument le projet. Les données restent là où les équipes les gèrent déjà — un Google Sheet — ce qui supprime toute base à administrer. Les tableaux de bord sont du code versionné, donc relisibles et reproductibles plutôt que configurés à la souris par une seule personne. Et l'intelligence artificielle sert à comprendre la question, jamais à produire les chiffres : cette frontière est ce qui rend l'outil utilisable pour de vraies décisions commerciales.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