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offre déjà partie chez le client, dont la probabilité de gain atteint 80 % et dont la décision n'est pas tombée : le pipeline le plus proche de se concrétiser. Le périmètre des statuts a été arrêté avec le métier — inclure « En attente du plan de charge », l'étape suivant immédiatement « Offre remise », fait passer le portefeuille chaud de 7 à 14 affaires et de 3,0 à 7,3 M€.</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218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test_accueil_dashboard.py</w:t>
            </w:r>
          </w:p>
        </w:tc>
        <w:tc>
          <w:tcPr>
            <w:tcW w:type="dxa" w:w="3137"/>
          </w:tcPr>
          <w:p>
            <w:r/>
            <w:r>
              <w:rPr>
                <w:sz w:val="19"/>
              </w:rPr>
              <w:t>8</w:t>
            </w:r>
          </w:p>
        </w:tc>
        <w:tc>
          <w:tcPr>
            <w:tcW w:type="dxa" w:w="3137"/>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