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Octobre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pPr>
        <w:pStyle w:val="ListBullet"/>
      </w:pPr>
      <w:r>
        <w:rPr>
          <w:color w:val="242422"/>
        </w:rPr>
        <w:t>Déploiement sur un poste neuf (Docker, INSTALLER.bat)</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Ollama (local)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Chemin</w:t>
            </w:r>
          </w:p>
        </w:tc>
        <w:tc>
          <w:tcPr>
            <w:tcW w:type="dxa" w:w="4706"/>
            <w:shd w:fill="F2405A"/>
          </w:tcPr>
          <w:p>
            <w:r/>
            <w:r>
              <w:rPr>
                <w:b/>
                <w:color w:val="FFFFFF"/>
                <w:sz w:val="19"/>
              </w:rPr>
              <w:t>Contenu</w:t>
            </w:r>
          </w:p>
        </w:tc>
      </w:tr>
      <w:tr>
        <w:trPr>
          <w:cantSplit/>
        </w:trPr>
        <w:tc>
          <w:tcPr>
            <w:tcW w:type="dxa" w:w="4706"/>
          </w:tcPr>
          <w:p>
            <w:r/>
            <w:r>
              <w:rPr>
                <w:sz w:val="19"/>
              </w:rPr>
              <w:t>backend/main.py</w:t>
            </w:r>
          </w:p>
        </w:tc>
        <w:tc>
          <w:tcPr>
            <w:tcW w:type="dxa" w:w="4706"/>
          </w:tcPr>
          <w:p>
            <w:r/>
            <w:r>
              <w:rPr>
                <w:sz w:val="19"/>
              </w:rPr>
              <w:t>Application FastAPI, endpoints, câblage du scheduler.</w:t>
            </w:r>
          </w:p>
        </w:tc>
      </w:tr>
      <w:tr>
        <w:trPr>
          <w:cantSplit/>
        </w:trP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rPr>
          <w:cantSplit/>
        </w:trPr>
        <w:tc>
          <w:tcPr>
            <w:tcW w:type="dxa" w:w="4706"/>
          </w:tcPr>
          <w:p>
            <w:r/>
            <w:r>
              <w:rPr>
                <w:sz w:val="19"/>
              </w:rPr>
              <w:t>backend/llm.py</w:t>
            </w:r>
          </w:p>
        </w:tc>
        <w:tc>
          <w:tcPr>
            <w:tcW w:type="dxa" w:w="4706"/>
          </w:tcPr>
          <w:p>
            <w:r/>
            <w:r>
              <w:rPr>
                <w:sz w:val="19"/>
              </w:rPr>
              <w:t>Appel LLM, validation Pydantic, résolution des filtres, anti-hallucination.</w:t>
            </w:r>
          </w:p>
        </w:tc>
      </w:tr>
      <w:tr>
        <w:trPr>
          <w:cantSplit/>
        </w:trP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rPr>
          <w:cantSplit/>
        </w:trPr>
        <w:tc>
          <w:tcPr>
            <w:tcW w:type="dxa" w:w="4706"/>
          </w:tcPr>
          <w:p>
            <w:r/>
            <w:r>
              <w:rPr>
                <w:sz w:val="19"/>
              </w:rPr>
              <w:t>backend/db_layer.py</w:t>
            </w:r>
          </w:p>
        </w:tc>
        <w:tc>
          <w:tcPr>
            <w:tcW w:type="dxa" w:w="4706"/>
          </w:tcPr>
          <w:p>
            <w:r/>
            <w:r>
              <w:rPr>
                <w:sz w:val="19"/>
              </w:rPr>
              <w:t>Requêtage pandas du DataFrame (données du message texte).</w:t>
            </w:r>
          </w:p>
        </w:tc>
      </w:tr>
      <w:tr>
        <w:trPr>
          <w:cantSplit/>
        </w:trP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rPr>
          <w:cantSplit/>
        </w:trPr>
        <w:tc>
          <w:tcPr>
            <w:tcW w:type="dxa" w:w="4706"/>
          </w:tcPr>
          <w:p>
            <w:r/>
            <w:r>
              <w:rPr>
                <w:sz w:val="19"/>
              </w:rPr>
              <w:t>backend/sql_builder.py</w:t>
            </w:r>
          </w:p>
        </w:tc>
        <w:tc>
          <w:tcPr>
            <w:tcW w:type="dxa" w:w="4706"/>
          </w:tcPr>
          <w:p>
            <w:r/>
            <w:r>
              <w:rPr>
                <w:sz w:val="19"/>
              </w:rPr>
              <w:t>Intention validée -&gt; SQL DuckDB. Jamais écrit par le LLM.</w:t>
            </w:r>
          </w:p>
        </w:tc>
      </w:tr>
      <w:tr>
        <w:trPr>
          <w:cantSplit/>
        </w:trP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rPr>
          <w:cantSplit/>
        </w:trPr>
        <w:tc>
          <w:tcPr>
            <w:tcW w:type="dxa" w:w="4706"/>
          </w:tcPr>
          <w:p>
            <w:r/>
            <w:r>
              <w:rPr>
                <w:sz w:val="19"/>
              </w:rPr>
              <w:t>backend/duckdb_export.py</w:t>
            </w:r>
          </w:p>
        </w:tc>
        <w:tc>
          <w:tcPr>
            <w:tcW w:type="dxa" w:w="4706"/>
          </w:tcPr>
          <w:p>
            <w:r/>
            <w:r>
              <w:rPr>
                <w:sz w:val="19"/>
              </w:rPr>
              <w:t>Projection du DataFrame vers le fichier DuckDB interrogé par DAC.</w:t>
            </w:r>
          </w:p>
        </w:tc>
      </w:tr>
      <w:tr>
        <w:trPr>
          <w:cantSplit/>
        </w:trP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rPr>
          <w:cantSplit/>
        </w:trPr>
        <w:tc>
          <w:tcPr>
            <w:tcW w:type="dxa" w:w="4706"/>
          </w:tcPr>
          <w:p>
            <w:r/>
            <w:r>
              <w:rPr>
                <w:sz w:val="19"/>
              </w:rPr>
              <w:t>backend/alerts.py</w:t>
            </w:r>
          </w:p>
        </w:tc>
        <w:tc>
          <w:tcPr>
            <w:tcW w:type="dxa" w:w="4706"/>
          </w:tcPr>
          <w:p>
            <w:r/>
            <w:r>
              <w:rPr>
                <w:sz w:val="19"/>
              </w:rPr>
              <w:t>Opportunités à échéance proche, envoi de l'email d'alerte.</w:t>
            </w:r>
          </w:p>
        </w:tc>
      </w:tr>
      <w:tr>
        <w:trPr>
          <w:cantSplit/>
        </w:trP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rPr>
          <w:cantSplit/>
        </w:trPr>
        <w:tc>
          <w:tcPr>
            <w:tcW w:type="dxa" w:w="4706"/>
          </w:tcPr>
          <w:p>
            <w:r/>
            <w:r>
              <w:rPr>
                <w:sz w:val="19"/>
              </w:rPr>
              <w:t>backend/data_quality.py</w:t>
            </w:r>
          </w:p>
        </w:tc>
        <w:tc>
          <w:tcPr>
            <w:tcW w:type="dxa" w:w="4706"/>
          </w:tcPr>
          <w:p>
            <w:r/>
            <w:r>
              <w:rPr>
                <w:sz w:val="19"/>
              </w:rPr>
              <w:t>Rapport des lignes rejetées et des valeurs manquantes.</w:t>
            </w:r>
          </w:p>
        </w:tc>
      </w:tr>
      <w:tr>
        <w:trPr>
          <w:cantSplit/>
        </w:trP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rPr>
          <w:cantSplit/>
        </w:trPr>
        <w:tc>
          <w:tcPr>
            <w:tcW w:type="dxa" w:w="4706"/>
          </w:tcPr>
          <w:p>
            <w:r/>
            <w:r>
              <w:rPr>
                <w:sz w:val="19"/>
              </w:rPr>
              <w:t>dac/dashboards/accueil.yml</w:t>
            </w:r>
          </w:p>
        </w:tc>
        <w:tc>
          <w:tcPr>
            <w:tcW w:type="dxa" w:w="4706"/>
          </w:tcPr>
          <w:p>
            <w:r/>
            <w:r>
              <w:rPr>
                <w:sz w:val="19"/>
              </w:rPr>
              <w:t>Section « Vue d'ensemble commerciale » (11 widgets), produite par scripts/generate_accueil.py, versionnée et relue en revue.</w:t>
            </w:r>
          </w:p>
        </w:tc>
      </w:tr>
      <w:tr>
        <w:trPr>
          <w:cantSplit/>
        </w:trPr>
        <w:tc>
          <w:tcPr>
            <w:tcW w:type="dxa" w:w="4706"/>
            <w:shd w:fill="FAFAF8"/>
          </w:tcPr>
          <w:p>
            <w:r/>
            <w:r>
              <w:rPr>
                <w:sz w:val="19"/>
              </w:rPr>
              <w:t>dac/dashboards/section_*.yml</w:t>
            </w:r>
          </w:p>
        </w:tc>
        <w:tc>
          <w:tcPr>
            <w:tcW w:type="dxa" w:w="4706"/>
            <w:shd w:fill="FAFAF8"/>
          </w:tcPr>
          <w:p>
            <w:r/>
            <w:r>
              <w:rPr>
                <w:sz w:val="19"/>
              </w:rPr>
              <w:t>Les quatre autres sections du tableau de bord principal (affaires chaudes, santé du portefeuille, pipeline, échéances) — 21 widgets, même générateur.</w:t>
            </w:r>
          </w:p>
        </w:tc>
      </w:tr>
      <w:tr>
        <w:trPr>
          <w:cantSplit/>
        </w:trPr>
        <w:tc>
          <w:tcPr>
            <w:tcW w:type="dxa" w:w="4706"/>
          </w:tcPr>
          <w:p>
            <w:r/>
            <w:r>
              <w:rPr>
                <w:sz w:val="19"/>
              </w:rPr>
              <w:t>backend/overview_match.py</w:t>
            </w:r>
          </w:p>
        </w:tc>
        <w:tc>
          <w:tcPr>
            <w:tcW w:type="dxa" w:w="4706"/>
          </w:tcPr>
          <w:p>
            <w:r/>
            <w:r>
              <w:rPr>
                <w:sz w:val="19"/>
              </w:rPr>
              <w:t>Décide si une section répond déjà à la question posée, et laquelle ; sa table est prouvée par les tests.</w:t>
            </w:r>
          </w:p>
        </w:tc>
      </w:tr>
      <w:tr>
        <w:trPr>
          <w:cantSplit/>
        </w:trP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rPr>
          <w:cantSplit/>
        </w:trPr>
        <w:tc>
          <w:tcPr>
            <w:tcW w:type="dxa" w:w="4706"/>
          </w:tcPr>
          <w:p>
            <w:r/>
            <w:r>
              <w:rPr>
                <w:sz w:val="19"/>
              </w:rPr>
              <w:t>dac/dashboards/_analyse_*.yml</w:t>
            </w:r>
          </w:p>
        </w:tc>
        <w:tc>
          <w:tcPr>
            <w:tcW w:type="dxa" w:w="4706"/>
          </w:tcPr>
          <w:p>
            <w:r/>
            <w:r>
              <w:rPr>
                <w:sz w:val="19"/>
              </w:rPr>
              <w:t>Instantané figé par question, pour les rouvrir (éphémère, hors suivi git).</w:t>
            </w:r>
          </w:p>
        </w:tc>
      </w:tr>
      <w:tr>
        <w:trPr>
          <w:cantSplit/>
        </w:trPr>
        <w:tc>
          <w:tcPr>
            <w:tcW w:type="dxa" w:w="4706"/>
            <w:shd w:fill="FAFAF8"/>
          </w:tcPr>
          <w:p>
            <w:r/>
            <w:r>
              <w:rPr>
                <w:sz w:val="19"/>
              </w:rPr>
              <w:t>frontend/src/</w:t>
            </w:r>
          </w:p>
        </w:tc>
        <w:tc>
          <w:tcPr>
            <w:tcW w:type="dxa" w:w="4706"/>
            <w:shd w:fill="FAFAF8"/>
          </w:tcPr>
          <w:p>
            <w:r/>
            <w:r>
              <w:rPr>
                <w:sz w:val="19"/>
              </w:rPr>
              <w:t>Application Vite + React (chat, iframe DAC, hooks, styles).</w:t>
            </w:r>
          </w:p>
        </w:tc>
      </w:tr>
      <w:tr>
        <w:trPr>
          <w:cantSplit/>
        </w:trPr>
        <w:tc>
          <w:tcPr>
            <w:tcW w:type="dxa" w:w="4706"/>
          </w:tcPr>
          <w:p>
            <w:r/>
            <w:r>
              <w:rPr>
                <w:sz w:val="19"/>
              </w:rPr>
              <w:t>tests/</w:t>
            </w:r>
          </w:p>
        </w:tc>
        <w:tc>
          <w:tcPr>
            <w:tcW w:type="dxa" w:w="4706"/>
          </w:tcPr>
          <w:p>
            <w:r/>
            <w:r>
              <w:rPr>
                <w:sz w:val="19"/>
              </w:rPr>
              <w:t>Suite pytest — 633 tests, aucune dépendance réseau ni données réelles.</w:t>
            </w:r>
          </w:p>
        </w:tc>
      </w:tr>
      <w:tr>
        <w:trPr>
          <w:cantSplit/>
        </w:trP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rPr>
          <w:cantSplit/>
        </w:trPr>
        <w:tc>
          <w:tcPr>
            <w:tcW w:type="dxa" w:w="4706"/>
          </w:tcPr>
          <w:p>
            <w:r/>
            <w:r>
              <w:rPr>
                <w:sz w:val="19"/>
              </w:rPr>
              <w:t>Documentation/reports/</w:t>
            </w:r>
          </w:p>
        </w:tc>
        <w:tc>
          <w:tcPr>
            <w:tcW w:type="dxa" w:w="4706"/>
          </w:tcPr>
          <w:p>
            <w:r/>
            <w:r>
              <w:rPr>
                <w:sz w:val="19"/>
              </w:rPr>
              <w:t>Ce guide, le rapport, le guide d'installation et leur générateur (generate_docs.py).</w:t>
            </w:r>
          </w:p>
        </w:tc>
      </w:tr>
      <w:tr>
        <w:trPr>
          <w:cantSplit/>
        </w:trPr>
        <w:tc>
          <w:tcPr>
            <w:tcW w:type="dxa" w:w="4706"/>
            <w:shd w:fill="FAFAF8"/>
          </w:tcPr>
          <w:p>
            <w:r/>
            <w:r>
              <w:rPr>
                <w:sz w:val="19"/>
              </w:rPr>
              <w:t>Documentation/PROGRESS.md</w:t>
            </w:r>
          </w:p>
        </w:tc>
        <w:tc>
          <w:tcPr>
            <w:tcW w:type="dxa" w:w="4706"/>
            <w:shd w:fill="FAFAF8"/>
          </w:tcPr>
          <w:p>
            <w:r/>
            <w:r>
              <w:rPr>
                <w:sz w:val="19"/>
              </w:rPr>
              <w:t>Journal de développement : chaque phase livrée, ses choix et ses vérifications.</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en lecture seule via son lien d'export public (aucune clé API, aucun compte de service, aucun fichier JSON),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rPr>
          <w:cantSplit/>
        </w:trP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rPr>
          <w:cantSplit/>
        </w:trP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rPr>
          <w:cantSplit/>
        </w:trP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rPr>
          <w:cantSplit/>
        </w:trP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rPr>
          <w:cantSplit/>
        </w:trP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rPr>
          <w:cantSplit/>
        </w:trP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rPr>
          <w:cantSplit/>
        </w:trP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rPr>
          <w:cantSplit/>
        </w:trP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rPr>
          <w:cantSplit/>
        </w:trP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rPr>
          <w:cantSplit/>
        </w:trP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rPr>
          <w:cantSplit/>
        </w:trP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rPr>
          <w:cantSplit/>
        </w:trP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rPr>
          <w:cantSplit/>
        </w:trP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Aucune écriture retour dans le Sheet</w:t>
      </w:r>
    </w:p>
    <w:p>
      <w:r>
        <w:rPr>
          <w:b w:val="0"/>
          <w:i w:val="0"/>
        </w:rPr>
        <w:t>L'application ne fait que LIRE le Sheet. Les versions antérieures y réécrivaient l'identifiant des nouvelles lignes et les quatre colonnes calculées, en un seul appel groupé ; cette écriture a disparu avec le passage au lien d'export public (section 12.3), qui ne la permet de toute façon pas. Une ligne sans identifiant en reçoit un en mémoire à chaque chargement, jamais renvoyé vers Google, et les colonnes calculées ne vivent que dans les tableaux de bord.</w:t>
      </w:r>
    </w:p>
    <w:p>
      <w:r>
        <w:rPr>
          <w:b w:val="0"/>
          <w:i w:val="0"/>
        </w:rPr>
        <w:t>Conséquence voulue : aucune suppression ni modification possible du côté de l'application.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au modèle local (Ollama,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Widget</w:t>
            </w:r>
          </w:p>
        </w:tc>
        <w:tc>
          <w:tcPr>
            <w:tcW w:type="dxa" w:w="4706"/>
            <w:shd w:fill="F2405A"/>
          </w:tcPr>
          <w:p>
            <w:r/>
            <w:r>
              <w:rPr>
                <w:b/>
                <w:color w:val="FFFFFF"/>
                <w:sz w:val="19"/>
              </w:rPr>
              <w:t>Rôle</w:t>
            </w:r>
          </w:p>
        </w:tc>
      </w:tr>
      <w:tr>
        <w:trPr>
          <w:cantSplit/>
        </w:trP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rPr>
          <w:cantSplit/>
        </w:trPr>
        <w:tc>
          <w:tcPr>
            <w:tcW w:type="dxa" w:w="4706"/>
            <w:shd w:fill="FAFAF8"/>
          </w:tcPr>
          <w:p>
            <w:r/>
            <w:r>
              <w:rPr>
                <w:sz w:val="19"/>
              </w:rPr>
              <w:t>Graphique principal</w:t>
            </w:r>
          </w:p>
        </w:tc>
        <w:tc>
          <w:tcPr>
            <w:tcW w:type="dxa" w:w="4706"/>
            <w:shd w:fill="FAFAF8"/>
          </w:tcPr>
          <w:p>
            <w:r/>
            <w:r>
              <w:rPr>
                <w:sz w:val="19"/>
              </w:rPr>
              <w:t>Répond directement à la question posée.</w:t>
            </w:r>
          </w:p>
        </w:tc>
      </w:tr>
      <w:tr>
        <w:trPr>
          <w:cantSplit/>
        </w:trPr>
        <w:tc>
          <w:tcPr>
            <w:tcW w:type="dxa" w:w="4706"/>
          </w:tcPr>
          <w:p>
            <w:r/>
            <w:r>
              <w:rPr>
                <w:sz w:val="19"/>
              </w:rPr>
              <w:t>Angle complémentaire</w:t>
            </w:r>
          </w:p>
        </w:tc>
        <w:tc>
          <w:tcPr>
            <w:tcW w:type="dxa" w:w="4706"/>
          </w:tcPr>
          <w:p>
            <w:r/>
            <w:r>
              <w:rPr>
                <w:sz w:val="19"/>
              </w:rPr>
              <w:t>La même métrique sur une autre dimension.</w:t>
            </w:r>
          </w:p>
        </w:tc>
      </w:tr>
      <w:tr>
        <w:trPr>
          <w:cantSplit/>
        </w:trPr>
        <w:tc>
          <w:tcPr>
            <w:tcW w:type="dxa" w:w="4706"/>
            <w:shd w:fill="FAFAF8"/>
          </w:tcPr>
          <w:p>
            <w:r/>
            <w:r>
              <w:rPr>
                <w:sz w:val="19"/>
              </w:rPr>
              <w:t>Pipeline commercial</w:t>
            </w:r>
          </w:p>
        </w:tc>
        <w:tc>
          <w:tcPr>
            <w:tcW w:type="dxa" w:w="4706"/>
            <w:shd w:fill="FAFAF8"/>
          </w:tcPr>
          <w:p>
            <w:r/>
            <w:r>
              <w:rPr>
                <w:sz w:val="19"/>
              </w:rPr>
              <w:t>L'entonnoir des statuts sur ce périmètre.</w:t>
            </w:r>
          </w:p>
        </w:tc>
      </w:tr>
      <w:tr>
        <w:trPr>
          <w:cantSplit/>
        </w:trP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rPr>
          <w:cantSplit/>
        </w:trP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rPr>
          <w:cantSplit/>
        </w:trP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rPr>
          <w:cantSplit/>
        </w:trP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rPr>
          <w:cantSplit/>
        </w:trP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rPr>
          <w:cantSplit/>
        </w:trP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rPr>
          <w:cantSplit/>
        </w:trP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cadre, cinq sections,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r>
        <w:rPr>
          <w:b w:val="0"/>
          <w:i w:val="0"/>
        </w:rPr>
        <w:t>Le tableau de bord principal, lui, est découpé en cinq dashboards (accueil.yml et section_*.yml) que la barre d'onglets fait défiler. Le découpage n'est pas un choix d'esthétique : DAC ne gère pas les dashboards multi-pages — la clé « pages » est rejetée par son schéma — et douze rangées à faire défiler en sachant où regarder valaient moins que cinq pages qu'on choisit. Les cinq fichiers sont découpés par scripts/generate_accueil.py à partir du même document assemblé, aux mêmes intertitres qui séparaient déjà les groupes : les règles métier restent donc écrites en un seul endroit.</w:t>
      </w:r>
    </w:p>
    <w:p>
      <w:pPr>
        <w:keepNext/>
        <w:spacing w:before="280" w:after="120"/>
      </w:pPr>
      <w:r>
        <w:rPr>
          <w:b/>
          <w:color w:val="242422"/>
          <w:sz w:val="27"/>
        </w:rPr>
        <w:t>9.10 « Offres gagnées » est un terme métier, comme « offre remise »</w:t>
      </w:r>
    </w:p>
    <w:p>
      <w:r>
        <w:rPr>
          <w:b w:val="0"/>
          <w:i w:val="0"/>
        </w:rPr>
        <w:t>La question « combien d'offres gagnées ? » donnait tantôt 56, tantôt 88 selon la formulation : le modèle proposait parfois le statut littéral « Offre gagnée », parfois l'ensemble des issues favorables — qui comprend aussi « Offre signée ». Le terme est désormais tranché par le code, comme « offre remise » l'était déjà : il vaut toujours les deux statuts, quelle que soit la phrase.</w:t>
      </w:r>
    </w:p>
    <w:p>
      <w:r>
        <w:rPr>
          <w:b w:val="0"/>
          <w:i w:val="0"/>
        </w:rPr>
        <w:t>La correction a mis au jour la même asymétrie sur la négation : « offres non gagnées » n'écartait qu'un des deux statuts, si bien que les offres signées comptaient dans les DEUX réponses et que les deux questions inverses ne partitionnaient pas le portefeuille. Les deux formes sont désormais traitées ensemble — 88 gagnées et 141 non gagnées redonnent bien les 229 opportunités actives.</w:t>
      </w:r>
    </w:p>
    <w:p>
      <w:pPr>
        <w:keepNext/>
        <w:spacing w:before="280" w:after="120"/>
      </w:pPr>
      <w:r>
        <w:rPr>
          <w:b/>
          <w:color w:val="242422"/>
          <w:sz w:val="27"/>
        </w:rPr>
        <w:t>9.11 Réutiliser une section : une table prouvée, jamais supposée</w:t>
      </w:r>
    </w:p>
    <w:p>
      <w:r>
        <w:rPr>
          <w:b w:val="0"/>
          <w:i w:val="0"/>
        </w:rPr>
        <w:t>Composer un tableau de bord pour une question à laquelle une section répond déjà fait perdre deux choses : l'utilisateur quitte une page qu'il connaît, et le chiffre affiché provient d'une composition faite à la volée plutôt que d'un widget relu. backend/overview_match.py décide donc, avant toute écriture, si une section porte la réponse — et laquelle.</w:t>
      </w:r>
    </w:p>
    <w:p>
      <w:r>
        <w:rPr>
          <w:b w:val="0"/>
          <w:i w:val="0"/>
        </w:rPr>
        <w:t>La première version de cette table associait (métrique, axe) à une page en supposant qu'une même métrique sur un même axe désignait la même question. C'est faux : le périmètre diffère. Vérification faite widget par widget, cinq des huit entrées désignaient une page répondant à autre chose — « budget par pays » menait à une section sans aucun widget par pays, et « combien d'offres » à un indicateur valant 147 quand le chat en annonce 229 (les offres remises dont l'échéance est passée, contre le portefeuille actif). Les deux chiffres sont justes ; la page contredisait la phrase qu'on venait de lire.</w:t>
      </w:r>
    </w:p>
    <w:p>
      <w:r>
        <w:rPr>
          <w:b w:val="0"/>
          <w:i w:val="0"/>
        </w:rPr>
        <w:t>La leçon porte moins sur la table que sur la méthode. Elle ne conserve que les entrées prouvées, et la preuve est devenue un test : tests/test_reutilisation_fidele.py exécute les deux moteurs sur les mêmes lignes et refuse toute entrée dont le total ou le nombre de lignes diffère, avec un contrôle négatif qui vérifie que le test sait dire non. Ajouter une entrée fausse fait désormais tomber la suite au lieu d'atteindre l'utilisateur.</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rPr>
          <w:cantSplit/>
        </w:trP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rPr>
          <w:cantSplit/>
        </w:trP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aucune, lien d'export public</w:t>
      </w:r>
    </w:p>
    <w:p>
      <w:r>
        <w:rPr>
          <w:b w:val="0"/>
          <w:i w:val="0"/>
        </w:rPr>
        <w:t>L'application ne lit plus le Sheet qu'en LECTURE — elle n'y écrit plus les identifiants des nouvelles lignes ni les colonnes calculées, qui restent affichées dans les tableaux de bord sans jamais être renvoyées vers Google (section 4.3). Aucun identifiant n'est donc nécessaire : un appel HTTP vers le lien d'export CSV public du Sheet (`/gviz/tq?tqx=out:csv`, le même mécanisme que « Fichier → Télécharger → CSV »), sans clé API, sans fichier de compte de service, sans OAuth. Contrepartie assumée : le Sheet doit être partagé en Lecteur, « toute personne disposant du lien » — et un nom d'onglet incorrect ne produit AUCUNE erreur, Google retombe silencieusement sur le premier onglet de la feuille (mitigé par la vérification des colonnes attendues juste après la lecture, seul filet de sécurité disponible ici).</w:t>
      </w:r>
    </w:p>
    <w:p>
      <w:r>
        <w:rPr>
          <w:b w:val="0"/>
          <w:i w:val="0"/>
        </w:rPr>
        <w:t>Ce choix a remplacé une authentification par clé API Sheets v4 restreinte (elle-même remplaçante d'un compte de service, fichier JSON partagé en Éditeur sur le Sheet cible) — chaque étape supprimant une pièce d'identité de plus à faire circuler, la dernière ne demandant plus rien du tout côté Google Cloud Console. L'appel HTTP au lien d'export n'a rien à mettre en cache entre deux chargements, contrairement au client authentifié qu'il remplace.</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La lecture du Sheet (section 12.3) ne passe par aucun identifiant à protéger : le lien d'export public n'existe que parce que le Sheet est déjà partagé « toute personne disposant du lien », exactement l'inverse d'un secret.</w:t>
      </w:r>
    </w:p>
    <w:p>
      <w:pPr>
        <w:keepNext/>
        <w:spacing w:before="400" w:after="200"/>
        <w:pBdr>
          <w:bottom w:val="single" w:sz="18" w:space="4" w:color="D42A45"/>
        </w:pBdr>
      </w:pPr>
      <w:r>
        <w:rPr>
          <w:b/>
          <w:color w:val="F2405A"/>
          <w:sz w:val="36"/>
        </w:rPr>
        <w:t>15. Tests automatisés</w:t>
      </w:r>
    </w:p>
    <w:p>
      <w:r>
        <w:rPr>
          <w:b w:val="0"/>
          <w:i w:val="0"/>
        </w:rPr>
        <w:t>633 tests pytest, sans dépendance réseau ni données réelles : le client du modèle local (Ollama) et l'appel HTTP au lien d'export du Sheet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au modèle local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rPr>
          <w:cantSplit/>
        </w:trP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rPr>
          <w:cantSplit/>
        </w:trP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rPr>
          <w:cantSplit/>
        </w:trP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rPr>
          <w:cantSplit/>
        </w:trP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rPr>
          <w:cantSplit/>
        </w:trP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rPr>
          <w:cantSplit/>
        </w:trP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rPr>
          <w:cantSplit/>
        </w:trP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rPr>
          <w:cantSplit/>
        </w:trP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rPr>
          <w:cantSplit/>
        </w:trP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rPr>
          <w:cantSplit/>
        </w:trP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rPr>
          <w:cantSplit/>
        </w:trP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Sur le poste du développeur, l'application se lance de deux façons, et se tromper est silencieux. Un raccourci de Bureau existe pour chacune (scripts/create_shortcut.ps1 les crée, avec un troisième pour Docker — section 19, le mode à utiliser sur tout autre poste).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rPr>
          <w:cantSplit/>
        </w:trP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rPr>
          <w:cantSplit/>
        </w:trP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rPr>
          <w:cantSplit/>
        </w:trP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rPr>
          <w:cantSplit/>
        </w:trP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rPr>
          <w:cantSplit/>
        </w:trP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rPr>
          <w:cantSplit/>
        </w:trP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rafraîchissements concurrents des données.</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Ollama, le fournisseur actuel (local, remplaçant Gemini — section 2.2), supporte aussi les sorties structurées strictes (un JSON Schema, pas seulement le mode "json" libre utilisé aujourd'hui), mais l'app garde volontairement l'architecture JSON libre héritée des fournisseurs précédents (Groq, Gemini)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Un thème DAC est fixé au lancement du serveur : le mode sombre des tableaux de bord demande donc un SECOND serveur DAC (port 8322), qui double la mémoire et les requêtes de démarrage à froid. S'il ne tourne pas, l'affichage reprend le thème clair plutôt que de rester vide.</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p>
      <w:pPr>
        <w:keepNext/>
        <w:spacing w:before="400" w:after="200"/>
        <w:pBdr>
          <w:bottom w:val="single" w:sz="18" w:space="4" w:color="D42A45"/>
        </w:pBdr>
      </w:pPr>
      <w:r>
        <w:rPr>
          <w:b/>
          <w:color w:val="F2405A"/>
          <w:sz w:val="36"/>
        </w:rPr>
        <w:t>19. Déploiement sur un poste neuf (Docker, INSTALLER.bat)</w:t>
      </w:r>
    </w:p>
    <w:p>
      <w:r>
        <w:rPr>
          <w:b w:val="0"/>
          <w:i w:val="0"/>
        </w:rPr>
        <w:t>Une troisième façon de lancer l'application, et la seule recommandée sur un autre poste que celui du développeur : trois conteneurs (backend, dac-light, dac-dark) plus un conteneur ponctuel (frontend-build) qui compile l'interface à chaque démarrage. Le modèle de langage, lui, tourne sur la machine hôte, jamais dans un conteneur. Tout est orchestré par INSTALLER.bat, en sept étapes idempotentes : chacune vérifie d'abord si elle est déjà faite.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Étape</w:t>
            </w:r>
          </w:p>
        </w:tc>
        <w:tc>
          <w:tcPr>
            <w:tcW w:type="dxa" w:w="3137"/>
            <w:shd w:fill="F2405A"/>
          </w:tcPr>
          <w:p>
            <w:r/>
            <w:r>
              <w:rPr>
                <w:b/>
                <w:color w:val="FFFFFF"/>
                <w:sz w:val="19"/>
              </w:rPr>
              <w:t>Ce qu'elle fait</w:t>
            </w:r>
          </w:p>
        </w:tc>
        <w:tc>
          <w:tcPr>
            <w:tcW w:type="dxa" w:w="3137"/>
            <w:shd w:fill="F2405A"/>
          </w:tcPr>
          <w:p>
            <w:r/>
            <w:r>
              <w:rPr>
                <w:b/>
                <w:color w:val="FFFFFF"/>
                <w:sz w:val="19"/>
              </w:rPr>
              <w:t>Point délicat traité</w:t>
            </w:r>
          </w:p>
        </w:tc>
      </w:tr>
      <w:tr>
        <w:trPr>
          <w:cantSplit/>
        </w:trPr>
        <w:tc>
          <w:tcPr>
            <w:tcW w:type="dxa" w:w="3137"/>
          </w:tcPr>
          <w:p>
            <w:r/>
            <w:r>
              <w:rPr>
                <w:sz w:val="19"/>
              </w:rPr>
              <w:t>1/7 Dossier</w:t>
            </w:r>
          </w:p>
        </w:tc>
        <w:tc>
          <w:tcPr>
            <w:tcW w:type="dxa" w:w="3137"/>
          </w:tcPr>
          <w:p>
            <w:r/>
            <w:r>
              <w:rPr>
                <w:sz w:val="19"/>
              </w:rPr>
              <w:t>Exige un .git ; affiche la RAM.</w:t>
            </w:r>
          </w:p>
        </w:tc>
        <w:tc>
          <w:tcPr>
            <w:tcW w:type="dxa" w:w="3137"/>
          </w:tcPr>
          <w:p>
            <w:r/>
            <w:r>
              <w:rPr>
                <w:sz w:val="19"/>
              </w:rPr>
              <w:t>bruin refuse toute requête sans racine de dépôt Git : un « Download ZIP » laisserait tous les tableaux de bord vides, sans erreur.</w:t>
            </w:r>
          </w:p>
        </w:tc>
      </w:tr>
      <w:tr>
        <w:trPr>
          <w:cantSplit/>
        </w:trPr>
        <w:tc>
          <w:tcPr>
            <w:tcW w:type="dxa" w:w="3137"/>
            <w:shd w:fill="FAFAF8"/>
          </w:tcPr>
          <w:p>
            <w:r/>
            <w:r>
              <w:rPr>
                <w:sz w:val="19"/>
              </w:rPr>
              <w:t>2/7 Docker</w:t>
            </w:r>
          </w:p>
        </w:tc>
        <w:tc>
          <w:tcPr>
            <w:tcW w:type="dxa" w:w="3137"/>
            <w:shd w:fill="FAFAF8"/>
          </w:tcPr>
          <w:p>
            <w:r/>
            <w:r>
              <w:rPr>
                <w:sz w:val="19"/>
              </w:rPr>
              <w:t>Installe Docker Desktop s'il manque, puis s'arrête volontairement (redémarrage, premier lancement).</w:t>
            </w:r>
          </w:p>
        </w:tc>
        <w:tc>
          <w:tcPr>
            <w:tcW w:type="dxa" w:w="3137"/>
            <w:shd w:fill="FAFAF8"/>
          </w:tcPr>
          <w:p>
            <w:r/>
            <w:r>
              <w:rPr>
                <w:sz w:val="19"/>
              </w:rPr>
              <w:t>winget peut manquer (Windows neuf, Store bloqué) : repli sur l'installeur officiel téléchargé par curl ; %20 échappé en %%20 dans l'URL.</w:t>
            </w:r>
          </w:p>
        </w:tc>
      </w:tr>
      <w:tr>
        <w:trPr>
          <w:cantSplit/>
        </w:trPr>
        <w:tc>
          <w:tcPr>
            <w:tcW w:type="dxa" w:w="3137"/>
          </w:tcPr>
          <w:p>
            <w:r/>
            <w:r>
              <w:rPr>
                <w:sz w:val="19"/>
              </w:rPr>
              <w:t>3/7 Démarrage</w:t>
            </w:r>
          </w:p>
        </w:tc>
        <w:tc>
          <w:tcPr>
            <w:tcW w:type="dxa" w:w="3137"/>
          </w:tcPr>
          <w:p>
            <w:r/>
            <w:r>
              <w:rPr>
                <w:sz w:val="19"/>
              </w:rPr>
              <w:t>Attend jusqu'à une minute que Docker réponde.</w:t>
            </w:r>
          </w:p>
        </w:tc>
        <w:tc>
          <w:tcPr>
            <w:tcW w:type="dxa" w:w="3137"/>
          </w:tcPr>
          <w:p>
            <w:r/>
            <w:r>
              <w:rPr>
                <w:sz w:val="19"/>
              </w:rPr>
              <w:t>Distingue WSL2 absent (wsl --install) de Docker simplement pas lancé.</w:t>
            </w:r>
          </w:p>
        </w:tc>
      </w:tr>
      <w:tr>
        <w:trPr>
          <w:cantSplit/>
        </w:trPr>
        <w:tc>
          <w:tcPr>
            <w:tcW w:type="dxa" w:w="3137"/>
            <w:shd w:fill="FAFAF8"/>
          </w:tcPr>
          <w:p>
            <w:r/>
            <w:r>
              <w:rPr>
                <w:sz w:val="19"/>
              </w:rPr>
              <w:t>4/7 Ollama</w:t>
            </w:r>
          </w:p>
        </w:tc>
        <w:tc>
          <w:tcPr>
            <w:tcW w:type="dxa" w:w="3137"/>
            <w:shd w:fill="FAFAF8"/>
          </w:tcPr>
          <w:p>
            <w:r/>
            <w:r>
              <w:rPr>
                <w:sz w:val="19"/>
              </w:rPr>
              <w:t>Installe, démarre le service, télécharge le modèle.</w:t>
            </w:r>
          </w:p>
        </w:tc>
        <w:tc>
          <w:tcPr>
            <w:tcW w:type="dxa" w:w="3137"/>
            <w:shd w:fill="FAFAF8"/>
          </w:tcPr>
          <w:p>
            <w:r/>
            <w:r>
              <w:rPr>
                <w:sz w:val="19"/>
              </w:rPr>
              <w:t>PATH de la fenêtre non rafraîchi après installation : exécutable visé à son emplacement connu ; options Inno Setup vérifiées sur l'exécutable.</w:t>
            </w:r>
          </w:p>
        </w:tc>
      </w:tr>
      <w:tr>
        <w:trPr>
          <w:cantSplit/>
        </w:trPr>
        <w:tc>
          <w:tcPr>
            <w:tcW w:type="dxa" w:w="3137"/>
          </w:tcPr>
          <w:p>
            <w:r/>
            <w:r>
              <w:rPr>
                <w:sz w:val="19"/>
              </w:rPr>
              <w:t>5/7 .env</w:t>
            </w:r>
          </w:p>
        </w:tc>
        <w:tc>
          <w:tcPr>
            <w:tcW w:type="dxa" w:w="3137"/>
          </w:tcPr>
          <w:p>
            <w:r/>
            <w:r>
              <w:rPr>
                <w:sz w:val="19"/>
              </w:rPr>
              <w:t>Demande le lien de la feuille et l'onglet (set /p).</w:t>
            </w:r>
          </w:p>
        </w:tc>
        <w:tc>
          <w:tcPr>
            <w:tcW w:type="dxa" w:w="3137"/>
          </w:tcPr>
          <w:p>
            <w:r/>
            <w:r>
              <w:rPr>
                <w:sz w:val="19"/>
              </w:rPr>
              <w:t>Écriture ligne par ligne par scripts/maj_env.ps1, sans BOM ; un lien complet (?, &amp;, #) passe intact jusqu'au conteneur.</w:t>
            </w:r>
          </w:p>
        </w:tc>
      </w:tr>
      <w:tr>
        <w:trPr>
          <w:cantSplit/>
        </w:trPr>
        <w:tc>
          <w:tcPr>
            <w:tcW w:type="dxa" w:w="3137"/>
            <w:shd w:fill="FAFAF8"/>
          </w:tcPr>
          <w:p>
            <w:r/>
            <w:r>
              <w:rPr>
                <w:sz w:val="19"/>
              </w:rPr>
              <w:t>6/7 Build</w:t>
            </w:r>
          </w:p>
        </w:tc>
        <w:tc>
          <w:tcPr>
            <w:tcW w:type="dxa" w:w="3137"/>
            <w:shd w:fill="FAFAF8"/>
          </w:tcPr>
          <w:p>
            <w:r/>
            <w:r>
              <w:rPr>
                <w:sz w:val="19"/>
              </w:rPr>
              <w:t>Vérifie les ports 8000/8321/8322, docker compose up -d --build.</w:t>
            </w:r>
          </w:p>
        </w:tc>
        <w:tc>
          <w:tcPr>
            <w:tcW w:type="dxa" w:w="3137"/>
            <w:shd w:fill="FAFAF8"/>
          </w:tcPr>
          <w:p>
            <w:r/>
            <w:r>
              <w:rPr>
                <w:sz w:val="19"/>
              </w:rPr>
              <w:t>Un port déjà pris est signalé avant le message de bas niveau de Docker.</w:t>
            </w:r>
          </w:p>
        </w:tc>
      </w:tr>
      <w:tr>
        <w:trPr>
          <w:cantSplit/>
        </w:trPr>
        <w:tc>
          <w:tcPr>
            <w:tcW w:type="dxa" w:w="3137"/>
          </w:tcPr>
          <w:p>
            <w:r/>
            <w:r>
              <w:rPr>
                <w:sz w:val="19"/>
              </w:rPr>
              <w:t>7/7 Finition</w:t>
            </w:r>
          </w:p>
        </w:tc>
        <w:tc>
          <w:tcPr>
            <w:tcW w:type="dxa" w:w="3137"/>
          </w:tcPr>
          <w:p>
            <w:r/>
            <w:r>
              <w:rPr>
                <w:sz w:val="19"/>
              </w:rPr>
              <w:t>Raccourcis, attente active de /health, navigateur, test fonctionnel dans le conteneur.</w:t>
            </w:r>
          </w:p>
        </w:tc>
        <w:tc>
          <w:tcPr>
            <w:tcW w:type="dxa" w:w="3137"/>
          </w:tcPr>
          <w:p>
            <w:r/>
            <w:r>
              <w:rPr>
                <w:sz w:val="19"/>
              </w:rPr>
              <w:t>TEST_DAC_URL=http://dac-light:8321 : 127.0.0.1 désignerait le conteneur backend lui-même.</w:t>
            </w:r>
          </w:p>
        </w:tc>
      </w:tr>
    </w:tbl>
    <w:p/>
    <w:p>
      <w:r>
        <w:rPr>
          <w:b w:val="0"/>
          <w:i w:val="0"/>
        </w:rPr>
        <w:t>Trois choix de docker-compose.yml portent l'essentiel de la fiabilité. Un montage unique du dépôt (.:/app) : os.replace, utilisé pour écrire les tableaux de bord de façon atomique, échoue en EXDEV entre deux montages distincts, même sur le même disque. Deux adresses par serveur DAC : le nom de service pour le backend, 127.0.0.1 pour le navigateur de l'hôte. Et OLLAMA_HOST forcé vers host.docker.internal, quel que soit le .env.</w:t>
      </w:r>
    </w:p>
    <w:p>
      <w:pPr>
        <w:keepNext/>
        <w:spacing w:before="280" w:after="120"/>
      </w:pPr>
      <w:r>
        <w:rPr>
          <w:b/>
          <w:color w:val="242422"/>
          <w:sz w:val="27"/>
        </w:rPr>
        <w:t>19.1 Vérification de livraison du 5 octobre 2026</w:t>
      </w:r>
    </w:p>
    <w:p>
      <w:r>
        <w:rPr>
          <w:b w:val="0"/>
          <w:i w:val="0"/>
        </w:rPr>
        <w:t>Clone neuf de la branche Version_2 depuis GitHub ; docker compose build --no-cache --pull (6 min 40, sans erreur, bruin 0.11.771 et dac 0.25.0 téléchargés le jour même) ; INSTALLER.bat réel : 7/7 étapes, 15/15 contrôles, « TOUT EST JUSTE » ; génération réelle du modèle depuis le conteneur via host.docker.internal ; 633 tests au vert. Cette exécution a eu lieu sur un poste où Docker Desktop et Ollama étaient déjà installés ; les branches « poste nu » ont été exercées séparément sur un Windows 11 neuf en machine virtuelle.</w:t>
      </w:r>
    </w:p>
    <w:p>
      <w:pPr>
        <w:keepNext/>
        <w:spacing w:before="280" w:after="120"/>
      </w:pPr>
      <w:r>
        <w:rPr>
          <w:b/>
          <w:color w:val="242422"/>
          <w:sz w:val="27"/>
        </w:rPr>
        <w:t>19.2 Risques résiduels</w:t>
      </w:r>
    </w:p>
    <w:p>
      <w:pPr>
        <w:pStyle w:val="ListBullet"/>
      </w:pPr>
      <w:r>
        <w:t>bruin et dac ne sont pas épinglés : l'image installe leur dernière version à chaque construction. Une version incompatible publiée entre la vérification et l'installation passerait inaperçue jusqu'au test fonctionnel final, qui la signalerait.</w:t>
      </w:r>
    </w:p>
    <w:p>
      <w:pPr>
        <w:pStyle w:val="ListBullet"/>
      </w:pPr>
      <w:r>
        <w:t>L'image de base python:3.14-slim-bookworm suit les correctifs de Python 3.14 : risque faible, les dépendances étant épinglées.</w:t>
      </w:r>
    </w:p>
    <w:p>
      <w:pPr>
        <w:pStyle w:val="ListBullet"/>
      </w:pPr>
      <w:r>
        <w:t>La branche par défaut du dépôt (main) est une version antérieure, qui demande encore une clé Gemini : le clone doit viser Version_2.</w:t>
      </w:r>
    </w:p>
    <w:p>
      <w:pPr>
        <w:pStyle w:val="ListBullet"/>
      </w:pPr>
      <w:r>
        <w:t>Licence Docker Desktop payante au-delà de 250 personnes ou 10 M$ de chiffre d'affaires.</w:t>
      </w:r>
    </w:p>
    <w:p>
      <w:pPr>
        <w:pStyle w:val="ListBullet"/>
      </w:pPr>
      <w:r>
        <w:t>Un poste d'entreprise peut refuser les droits administrateur, la virtualisation ou l'accès aux sites de téléchargement : l'installateur le signale, mais ne peut pas le contourner.</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