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écrit dac/dashboards/_analyse.yml</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10).</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350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backend/vega_generator.py</w:t>
            </w:r>
          </w:p>
        </w:tc>
        <w:tc>
          <w:tcPr>
            <w:tcW w:type="dxa" w:w="4706"/>
            <w:shd w:fill="FAFAF8"/>
          </w:tcPr>
          <w:p>
            <w:r/>
            <w:r>
              <w:rPr>
                <w:sz w:val="19"/>
              </w:rPr>
              <w:t>Héritage Vega-Lite — plus utilisé par l'interface (voir section 16).</w:t>
            </w:r>
          </w:p>
        </w:tc>
      </w:tr>
      <w:tr>
        <w:tc>
          <w:tcPr>
            <w:tcW w:type="dxa" w:w="4706"/>
          </w:tcPr>
          <w:p>
            <w:r/>
            <w:r>
              <w:rPr>
                <w:sz w:val="19"/>
              </w:rPr>
              <w:t>dac/.bruin.yml</w:t>
            </w:r>
          </w:p>
        </w:tc>
        <w:tc>
          <w:tcPr>
            <w:tcW w:type="dxa" w:w="4706"/>
          </w:tcPr>
          <w:p>
            <w:r/>
            <w:r>
              <w:rPr>
                <w:sz w:val="19"/>
              </w:rPr>
              <w:t>Connexion DuckDB de DAC (aucun identifiant, versionnée volontairement).</w:t>
            </w:r>
          </w:p>
        </w:tc>
      </w:tr>
      <w:tr>
        <w:tc>
          <w:tcPr>
            <w:tcW w:type="dxa" w:w="4706"/>
            <w:shd w:fill="FAFAF8"/>
          </w:tcPr>
          <w:p>
            <w:r/>
            <w:r>
              <w:rPr>
                <w:sz w:val="19"/>
              </w:rPr>
              <w:t>dac/dashboards/accueil.yml</w:t>
            </w:r>
          </w:p>
        </w:tc>
        <w:tc>
          <w:tcPr>
            <w:tcW w:type="dxa" w:w="4706"/>
            <w:shd w:fill="FAFAF8"/>
          </w:tcPr>
          <w:p>
            <w:r/>
            <w:r>
              <w:rPr>
                <w:sz w:val="19"/>
              </w:rPr>
              <w:t>Vue d'ensemble écrite à la main, versionnée et relue en revue.</w:t>
            </w:r>
          </w:p>
        </w:tc>
      </w:tr>
      <w:tr>
        <w:tc>
          <w:tcPr>
            <w:tcW w:type="dxa" w:w="4706"/>
          </w:tcPr>
          <w:p>
            <w:r/>
            <w:r>
              <w:rPr>
                <w:sz w:val="19"/>
              </w:rPr>
              <w:t>dac/dashboards/_analyse.yml</w:t>
            </w:r>
          </w:p>
        </w:tc>
        <w:tc>
          <w:tcPr>
            <w:tcW w:type="dxa" w:w="4706"/>
          </w:tcPr>
          <w:p>
            <w:r/>
            <w:r>
              <w:rPr>
                <w:sz w:val="19"/>
              </w:rPr>
              <w:t>Tableau de bord généré par question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350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ligne invalide est journalisée et sautée — jamais bloquante pour les autres.</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350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10. Alertes deadlines</w:t>
      </w:r>
    </w:p>
    <w:p>
      <w:pPr>
        <w:keepNext/>
        <w:spacing w:before="280" w:after="120"/>
      </w:pPr>
      <w:r>
        <w:rPr>
          <w:b/>
          <w:color w:val="242422"/>
          <w:sz w:val="27"/>
        </w:rPr>
        <w:t>10.1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10.2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10.4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10.5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10.6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10.7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10.8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10.9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11.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11.1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11.2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11.3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11.4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12.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16).</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12.1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12.2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13.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14. Tests automatisés</w:t>
      </w:r>
    </w:p>
    <w:p>
      <w:r>
        <w:rPr>
          <w:b w:val="0"/>
          <w:i w:val="0"/>
        </w:rPr>
        <w:t>152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37</w:t>
            </w:r>
          </w:p>
        </w:tc>
        <w:tc>
          <w:tcPr>
            <w:tcW w:type="dxa" w:w="3137"/>
          </w:tcPr>
          <w:p>
            <w:r/>
            <w:r>
              <w:rPr>
                <w:sz w:val="19"/>
              </w:rPr>
              <w:t>Dates relatives, parseur par mots-clés, affinage d'intention, normalisation funnel/heatmap/scatter/days_remaining/exclude_statuses.</w:t>
            </w:r>
          </w:p>
        </w:tc>
      </w:tr>
      <w:tr>
        <w:tc>
          <w:tcPr>
            <w:tcW w:type="dxa" w:w="3137"/>
            <w:shd w:fill="FAFAF8"/>
          </w:tcPr>
          <w:p>
            <w:r/>
            <w:r>
              <w:rPr>
                <w:sz w:val="19"/>
              </w:rPr>
              <w:t>test_data_store.py</w:t>
            </w:r>
          </w:p>
        </w:tc>
        <w:tc>
          <w:tcPr>
            <w:tcW w:type="dxa" w:w="3137"/>
            <w:shd w:fill="FAFAF8"/>
          </w:tcPr>
          <w:p>
            <w:r/>
            <w:r>
              <w:rPr>
                <w:sz w:val="19"/>
              </w:rPr>
              <w:t>23</w:t>
            </w:r>
          </w:p>
        </w:tc>
        <w:tc>
          <w:tcPr>
            <w:tcW w:type="dxa" w:w="3137"/>
            <w:shd w:fill="FAFAF8"/>
          </w:tcPr>
          <w:p>
            <w:r/>
            <w:r>
              <w:rPr>
                <w:sz w:val="19"/>
              </w:rPr>
              <w:t>Parsing et validation par ligne, littéraux NULL, attribution et réécriture des identifiants, ligne invalide sautée sans bloquer les autres, résilience à une panne de lecture du Sheet.</w:t>
            </w:r>
          </w:p>
        </w:tc>
      </w:tr>
      <w:tr>
        <w:tc>
          <w:tcPr>
            <w:tcW w:type="dxa" w:w="3137"/>
          </w:tcPr>
          <w:p>
            <w:r/>
            <w:r>
              <w:rPr>
                <w:sz w:val="19"/>
              </w:rPr>
              <w:t>test_dac_composer.py</w:t>
            </w:r>
          </w:p>
        </w:tc>
        <w:tc>
          <w:tcPr>
            <w:tcW w:type="dxa" w:w="3137"/>
          </w:tcPr>
          <w:p>
            <w:r/>
            <w:r>
              <w:rPr>
                <w:sz w:val="19"/>
              </w:rPr>
              <w:t>20</w:t>
            </w:r>
          </w:p>
        </w:tc>
        <w:tc>
          <w:tcPr>
            <w:tcW w:type="dxa" w:w="3137"/>
          </w:tcPr>
          <w:p>
            <w:r/>
            <w:r>
              <w:rPr>
                <w:sz w:val="19"/>
              </w:rPr>
              <w:t>Génération SQL (échappement des apostrophes, refus d'injection), composition multi-widgets, filtres propagés à tous les widgets, grille 12 colonnes respectée, YAML valide et relisible.</w:t>
            </w:r>
          </w:p>
        </w:tc>
      </w:tr>
      <w:tr>
        <w:tc>
          <w:tcPr>
            <w:tcW w:type="dxa" w:w="3137"/>
            <w:shd w:fill="FAFAF8"/>
          </w:tcPr>
          <w:p>
            <w:r/>
            <w:r>
              <w:rPr>
                <w:sz w:val="19"/>
              </w:rPr>
              <w:t>test_vega_generator.py</w:t>
            </w:r>
          </w:p>
        </w:tc>
        <w:tc>
          <w:tcPr>
            <w:tcW w:type="dxa" w:w="3137"/>
            <w:shd w:fill="FAFAF8"/>
          </w:tcPr>
          <w:p>
            <w:r/>
            <w:r>
              <w:rPr>
                <w:sz w:val="19"/>
              </w:rPr>
              <w:t>18</w:t>
            </w:r>
          </w:p>
        </w:tc>
        <w:tc>
          <w:tcPr>
            <w:tcW w:type="dxa" w:w="3137"/>
            <w:shd w:fill="FAFAF8"/>
          </w:tcPr>
          <w:p>
            <w:r/>
            <w:r>
              <w:rPr>
                <w:sz w:val="19"/>
              </w:rPr>
              <w:t>Cardinalité, palette, valeurs NULL (module conservé mais plus utilisé par l'interface — voir section 16).</w:t>
            </w:r>
          </w:p>
        </w:tc>
      </w:tr>
      <w:tr>
        <w:tc>
          <w:tcPr>
            <w:tcW w:type="dxa" w:w="3137"/>
          </w:tcPr>
          <w:p>
            <w:r/>
            <w:r>
              <w:rPr>
                <w:sz w:val="19"/>
              </w:rPr>
              <w:t>test_db_layer.py</w:t>
            </w:r>
          </w:p>
        </w:tc>
        <w:tc>
          <w:tcPr>
            <w:tcW w:type="dxa" w:w="3137"/>
          </w:tcPr>
          <w:p>
            <w:r/>
            <w:r>
              <w:rPr>
                <w:sz w:val="19"/>
              </w:rPr>
              <w:t>15</w:t>
            </w:r>
          </w:p>
        </w:tc>
        <w:tc>
          <w:tcPr>
            <w:tcW w:type="dxa" w:w="3137"/>
          </w:tcPr>
          <w:p>
            <w:r/>
            <w:r>
              <w:rPr>
                <w:sz w:val="19"/>
              </w:rPr>
              <w:t>Requêtage pandas : groupements, filtres à valeurs multiples, intervalles, exclusion de statuts, chemin brut du scatter, DataFrame vide.</w:t>
            </w:r>
          </w:p>
        </w:tc>
      </w:tr>
      <w:tr>
        <w:tc>
          <w:tcPr>
            <w:tcW w:type="dxa" w:w="3137"/>
            <w:shd w:fill="FAFAF8"/>
          </w:tcPr>
          <w:p>
            <w:r/>
            <w:r>
              <w:rPr>
                <w:sz w:val="19"/>
              </w:rPr>
              <w:t>test_llm_validation.py</w:t>
            </w:r>
          </w:p>
        </w:tc>
        <w:tc>
          <w:tcPr>
            <w:tcW w:type="dxa" w:w="3137"/>
            <w:shd w:fill="FAFAF8"/>
          </w:tcPr>
          <w:p>
            <w:r/>
            <w:r>
              <w:rPr>
                <w:sz w:val="19"/>
              </w:rPr>
              <w:t>14</w:t>
            </w:r>
          </w:p>
        </w:tc>
        <w:tc>
          <w:tcPr>
            <w:tcW w:type="dxa" w:w="3137"/>
            <w:shd w:fill="FAFAF8"/>
          </w:tcPr>
          <w:p>
            <w:r/>
            <w:r>
              <w:rPr>
                <w:sz w:val="19"/>
              </w:rPr>
              <w:t>Anti-hallucination : clarification plutôt que valeur devinée, résolution fuzzy des filtres, chemin rapide vs LLM.</w:t>
            </w:r>
          </w:p>
        </w:tc>
      </w:tr>
      <w:tr>
        <w:tc>
          <w:tcPr>
            <w:tcW w:type="dxa" w:w="3137"/>
          </w:tcPr>
          <w:p>
            <w:r/>
            <w:r>
              <w:rPr>
                <w:sz w:val="19"/>
              </w:rPr>
              <w:t>test_response_builder.py</w:t>
            </w:r>
          </w:p>
        </w:tc>
        <w:tc>
          <w:tcPr>
            <w:tcW w:type="dxa" w:w="3137"/>
          </w:tcPr>
          <w:p>
            <w:r/>
            <w:r>
              <w:rPr>
                <w:sz w:val="19"/>
              </w:rPr>
              <w:t>13</w:t>
            </w:r>
          </w:p>
        </w:tc>
        <w:tc>
          <w:tcPr>
            <w:tcW w:type="dxa" w:w="3137"/>
          </w:tcPr>
          <w:p>
            <w:r/>
            <w:r>
              <w:rPr>
                <w:sz w:val="19"/>
              </w:rPr>
              <w:t>Formatage des unités, messages texte déterministes, cohérence texte/graphique pour funnel et heatmap.</w:t>
            </w:r>
          </w:p>
        </w:tc>
      </w:tr>
      <w:tr>
        <w:tc>
          <w:tcPr>
            <w:tcW w:type="dxa" w:w="3137"/>
            <w:shd w:fill="FAFAF8"/>
          </w:tcPr>
          <w:p>
            <w:r/>
            <w:r>
              <w:rPr>
                <w:sz w:val="19"/>
              </w:rPr>
              <w:t>test_alerts.py</w:t>
            </w:r>
          </w:p>
        </w:tc>
        <w:tc>
          <w:tcPr>
            <w:tcW w:type="dxa" w:w="3137"/>
            <w:shd w:fill="FAFAF8"/>
          </w:tcPr>
          <w:p>
            <w:r/>
            <w:r>
              <w:rPr>
                <w:sz w:val="19"/>
              </w:rPr>
              <w:t>12</w:t>
            </w:r>
          </w:p>
        </w:tc>
        <w:tc>
          <w:tcPr>
            <w:tcW w:type="dxa" w:w="3137"/>
            <w:shd w:fill="FAFAF8"/>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15.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~350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16.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La zone tableau de bord utilise l'apparence de DAC, pas le thème Devoteam : DAC sert sa propre interface web, impossible à rendre comme un composant React, donc les jetons de couleur et le mode sombre du projet ne s'y appliquent pas. Le chat, lui, garde le branding complet.</w:t>
      </w:r>
    </w:p>
    <w:p>
      <w:pPr>
        <w:pStyle w:val="ListBullet"/>
      </w:pPr>
      <w:r>
        <w:t>Le module Vega-Lite n'est plus utilisé par l'interface depuis le passage à DAC, mais reste dans le dépôt (backend/vega_generator.py et le composant React associé) — un nettoyage dédié reste à faire, il allègerait aussi sensiblement le bundle frontend.</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(~350 lignes toutes les 15 minutes), à reconsidérer si le Sheet grossissait beaucoup.</w:t>
      </w:r>
    </w:p>
    <w:p>
      <w:pPr>
        <w:pStyle w:val="ListBullet"/>
      </w:pPr>
      <w:r>
        <w:t>12 opportunités ont un status invalide dans le Sheet — problème de qualité de données antérieur au projet, révélé par la validation stricte (section 4.2). Ces lignes sont journalisées et ignorées à chaque chargement. À corriger dans le Sheet, ou à ajouter à la liste blanche si ces statuts sont légitimes.</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