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(24 widgets), produite par scripts/generate_accueil.py,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toute opportunité dont la probabilité de gain atteint 80 %. UN SEUL critère : le statut n'entre pas en compte. Le portefeuille compte ainsi 105 opportunités et 51,3 M€ sur l'ensemble de l'historique. Les offres perdues en sortent d'elles-mêmes sans qu'aucun filtre soit nécessaire — leur pondération est vide dans le Sheet, et une comparaison avec une valeur absente est toujours fausse.</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tableau de détail occupe sa propre ligne, en pleine largeur, sans hauteur imposée. Aucune ligne n'est retirée de la requête : les 105 affaires y sont, et l'on atteint les dernières en faisant défiler la page.</w:t>
      </w:r>
    </w:p>
    <w:p>
      <w:pPr>
        <w:spacing w:before="40"/>
      </w:pPr>
      <w:r>
        <w:rPr>
          <w:i/>
          <w:color w:val="52514E"/>
          <w:sz w:val="19"/>
        </w:rPr>
        <w:t>Le widget tableau de Bruin DAC ne défile pas verticalement : son élément externe est un simple overflow-x-auto, sans hauteur ni overflow-y, dans un cadre overflow-hidden. Borner la hauteur de la ligne le CLIPPE au lieu de le rendre défilable, et aucun contournement n'existe — le schéma refuse height sur un widget, le thème refuse le CSS, le TSX partage le même modèle que le YAML, et le markdown d'un widget text est rendu sans rehype-raw, donc sans HTML brut. Un rendu React hors de l'iframe a été essayé puis retiré : il donnait la molette mais sortait le tableau du dashboard.</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passerait de 105 à 275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226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test_hot_deals.py</w:t>
            </w:r>
          </w:p>
        </w:tc>
        <w:tc>
          <w:tcPr>
            <w:tcW w:type="dxa" w:w="3137"/>
          </w:tcPr>
          <w:p>
            <w:r/>
            <w:r>
              <w:rPr>
                <w:sz w:val="19"/>
              </w:rPr>
              <w:t>7</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c>
          <w:tcPr>
            <w:tcW w:type="dxa" w:w="3137"/>
            <w:shd w:fill="FAFAF8"/>
          </w:tcPr>
          <w:p>
            <w:r/>
            <w:r>
              <w:rPr>
                <w:sz w:val="19"/>
              </w:rPr>
              <w:t>test_accueil_dashboard.py</w:t>
            </w:r>
          </w:p>
        </w:tc>
        <w:tc>
          <w:tcPr>
            <w:tcW w:type="dxa" w:w="3137"/>
            <w:shd w:fill="FAFAF8"/>
          </w:tcPr>
          <w:p>
            <w:r/>
            <w:r>
              <w:rPr>
                <w:sz w:val="19"/>
              </w:rPr>
              <w:t>8</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tcPr>
          <w:p>
            <w:r/>
            <w:r>
              <w:rPr>
                <w:sz w:val="19"/>
              </w:rPr>
              <w:t>test_frontend_proxy.py</w:t>
            </w:r>
          </w:p>
        </w:tc>
        <w:tc>
          <w:tcPr>
            <w:tcW w:type="dxa" w:w="3137"/>
          </w:tcPr>
          <w:p>
            <w:r/>
            <w:r>
              <w:rPr>
                <w:sz w:val="19"/>
              </w:rPr>
              <w:t>3</w:t>
            </w:r>
          </w:p>
        </w:tc>
        <w:tc>
          <w:tcPr>
            <w:tcW w:type="dxa" w:w="3137"/>
          </w:tcPr>
          <w:p>
            <w:r/>
            <w:r>
              <w:rPr>
                <w:sz w:val="19"/>
              </w:rPr>
              <w:t>Les appels de src/api.js, les prefixes du proxy Vite et les routes de main.py doivent rester d accord ; le montage statique reste declare en dernier.</w:t>
            </w:r>
          </w:p>
        </w:tc>
      </w:tr>
      <w:tr>
        <w:tc>
          <w:tcPr>
            <w:tcW w:type="dxa" w:w="3137"/>
            <w:shd w:fill="FAFAF8"/>
          </w:tcPr>
          <w:p>
            <w:r/>
            <w:r>
              <w:rPr>
                <w:sz w:val="19"/>
              </w:rPr>
              <w:t>test_alerts.py</w:t>
            </w:r>
          </w:p>
        </w:tc>
        <w:tc>
          <w:tcPr>
            <w:tcW w:type="dxa" w:w="3137"/>
            <w:shd w:fill="FAFAF8"/>
          </w:tcPr>
          <w:p>
            <w:r/>
            <w:r>
              <w:rPr>
                <w:sz w:val="19"/>
              </w:rPr>
              <w:t>12</w:t>
            </w:r>
          </w:p>
        </w:tc>
        <w:tc>
          <w:tcPr>
            <w:tcW w:type="dxa" w:w="3137"/>
            <w:shd w:fill="FAFAF8"/>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