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offre déjà partie chez le client, dont la probabilité de gain atteint 80 % et dont la décision n'est pas tombée : le pipeline le plus proche de se concrétiser. Le périmètre des statuts a été arrêté avec le métier — inclure « En attente du plan de charge », l'étape suivant immédiatement « Offre remise », fait passer le portefeuille chaud de 7 à 14 affaires et de 3,0 à 7,3 M€.</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9.8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202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59</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35</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