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before="240" w:lineRule="auto"/>
        <w:rPr>
          <w:color w:val="2f1ca0"/>
          <w:sz w:val="18"/>
          <w:szCs w:val="18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50"/>
          <w:szCs w:val="50"/>
          <w:rtl w:val="0"/>
        </w:rPr>
        <w:t xml:space="preserve">Arize AX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spacing w:after="60" w:before="0" w:lineRule="auto"/>
        <w:rPr>
          <w:rFonts w:ascii="Inter" w:cs="Inter" w:eastAsia="Inter" w:hAnsi="Inter"/>
          <w:sz w:val="34"/>
          <w:szCs w:val="34"/>
        </w:rPr>
      </w:pP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Proof of </w:t>
      </w:r>
      <w:r w:rsidDel="00000000" w:rsidR="00000000" w:rsidRPr="00000000">
        <w:rPr>
          <w:sz w:val="34"/>
          <w:szCs w:val="34"/>
          <w:rtl w:val="0"/>
        </w:rPr>
        <w:t xml:space="preserve">Concept</w:t>
      </w: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 (</w:t>
      </w:r>
      <w:r w:rsidDel="00000000" w:rsidR="00000000" w:rsidRPr="00000000">
        <w:rPr>
          <w:sz w:val="34"/>
          <w:szCs w:val="34"/>
          <w:rtl w:val="0"/>
        </w:rPr>
        <w:t xml:space="preserve">PoC</w:t>
      </w:r>
      <w:r w:rsidDel="00000000" w:rsidR="00000000" w:rsidRPr="00000000">
        <w:rPr>
          <w:rFonts w:ascii="Inter" w:cs="Inter" w:eastAsia="Inter" w:hAnsi="Inter"/>
          <w:sz w:val="34"/>
          <w:szCs w:val="34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pacing w:after="60" w:before="0" w:lineRule="auto"/>
        <w:rPr/>
      </w:pPr>
      <w:r w:rsidDel="00000000" w:rsidR="00000000" w:rsidRPr="00000000">
        <w:rPr>
          <w:rtl w:val="0"/>
        </w:rPr>
        <w:t xml:space="preserve">A Proof of Concept is a 14-day trial conducted to prove the Arize AX Enterprise platform is compatible with your GenAI tech stack and achieve technical validation via mutually agreed success criteria.</w:t>
      </w:r>
      <w:r w:rsidDel="00000000" w:rsidR="00000000" w:rsidRPr="00000000">
        <w:rPr>
          <w:rtl w:val="0"/>
        </w:rPr>
        <w:t xml:space="preserve"> Below are the steps required from both teams to successfully complete a PoC together.</w:t>
      </w:r>
    </w:p>
    <w:p w:rsidR="00000000" w:rsidDel="00000000" w:rsidP="00000000" w:rsidRDefault="00000000" w:rsidRPr="00000000" w14:paraId="00000004">
      <w:pPr>
        <w:spacing w:after="60" w:before="0" w:lineRule="auto"/>
        <w:rPr>
          <w:color w:val="3b5bdb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spacing w:line="276" w:lineRule="auto"/>
        <w:jc w:val="center"/>
        <w:rPr>
          <w:color w:val="3b5bdb"/>
          <w:sz w:val="34"/>
          <w:szCs w:val="34"/>
        </w:rPr>
      </w:pPr>
      <w:r w:rsidDel="00000000" w:rsidR="00000000" w:rsidRPr="00000000">
        <w:rPr>
          <w:rFonts w:ascii="Arial" w:cs="Arial" w:eastAsia="Arial" w:hAnsi="Arial"/>
          <w:sz w:val="22"/>
          <w:szCs w:val="22"/>
        </w:rPr>
        <w:drawing>
          <wp:inline distB="114300" distT="114300" distL="114300" distR="114300">
            <wp:extent cx="6736860" cy="1698464"/>
            <wp:effectExtent b="0" l="0" r="0" t="0"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736860" cy="16984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1.  Executive Summary</w:t>
      </w: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800"/>
        <w:gridCol w:w="6560"/>
        <w:tblGridChange w:id="0">
          <w:tblGrid>
            <w:gridCol w:w="2800"/>
            <w:gridCol w:w="6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[Company Name]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9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Start Date / Duration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Start: _____ / End: _____</w:t>
            </w: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 - [X] Weeks 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Framework(s)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[LangChain / LangGraph / LlamaIndex / Custom / etc.]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Current State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[DataDog / Splunk / Homegrown /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0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Environment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[SaaS / VPC / On-Prem]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Decision 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2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Customer Team</w:t>
      </w:r>
    </w:p>
    <w:tbl>
      <w:tblPr>
        <w:tblStyle w:val="Table2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1400"/>
        <w:gridCol w:w="3960"/>
        <w:tblGridChange w:id="0">
          <w:tblGrid>
            <w:gridCol w:w="2000"/>
            <w:gridCol w:w="2000"/>
            <w:gridCol w:w="1400"/>
            <w:gridCol w:w="39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Role / Team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% Time Committed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Responsibilities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4">
      <w:pPr>
        <w:pStyle w:val="Heading2"/>
        <w:rPr>
          <w:color w:val="2f1ca0"/>
        </w:rPr>
      </w:pPr>
      <w:bookmarkStart w:colFirst="0" w:colLast="0" w:name="_wpm6hddf5udn" w:id="0"/>
      <w:bookmarkEnd w:id="0"/>
      <w:r w:rsidDel="00000000" w:rsidR="00000000" w:rsidRPr="00000000">
        <w:rPr>
          <w:color w:val="2f1ca0"/>
          <w:rtl w:val="0"/>
        </w:rPr>
        <w:t xml:space="preserve">Arize Team</w:t>
      </w:r>
    </w:p>
    <w:tbl>
      <w:tblPr>
        <w:tblStyle w:val="Table3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2000"/>
        <w:gridCol w:w="2000"/>
        <w:gridCol w:w="2000"/>
        <w:gridCol w:w="3360"/>
        <w:tblGridChange w:id="0">
          <w:tblGrid>
            <w:gridCol w:w="2000"/>
            <w:gridCol w:w="2000"/>
            <w:gridCol w:w="2000"/>
            <w:gridCol w:w="33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Name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Title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Role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5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2.  PoC Scoping 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2a.  Communication Setup</w:t>
      </w:r>
      <w:r w:rsidDel="00000000" w:rsidR="00000000" w:rsidRPr="00000000">
        <w:rPr>
          <w:rtl w:val="0"/>
        </w:rPr>
      </w:r>
    </w:p>
    <w:tbl>
      <w:tblPr>
        <w:tblStyle w:val="Table4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960"/>
        <w:gridCol w:w="5400"/>
        <w:tblGridChange w:id="0">
          <w:tblGrid>
            <w:gridCol w:w="3960"/>
            <w:gridCol w:w="540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Details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Slack / Communication Channel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Check-in Cadence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Primary Escalation Contact (</w:t>
            </w: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3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Primary Escalation Contact (Arize)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1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2b.  Use Case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Complete the fields below to lock in the PoC scope. </w:t>
      </w:r>
      <w:r w:rsidDel="00000000" w:rsidR="00000000" w:rsidRPr="00000000">
        <w:rPr>
          <w:b w:val="1"/>
          <w:bCs w:val="1"/>
          <w:i w:val="1"/>
          <w:iCs w:val="1"/>
          <w:color w:val="6b7280"/>
          <w:sz w:val="20"/>
          <w:szCs w:val="20"/>
          <w:rtl w:val="0"/>
        </w:rPr>
        <w:t xml:space="preserve">Only one use case</w:t>
      </w: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 should be selected.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5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35"/>
        <w:gridCol w:w="6225"/>
        <w:tblGridChange w:id="0">
          <w:tblGrid>
            <w:gridCol w:w="3135"/>
            <w:gridCol w:w="62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4">
            <w:pPr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Predominant Coding Agent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5">
            <w:pPr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</w:rPr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[e.g., Claude Code, Cursor, etc.]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Application Name / Description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7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[e.g., Customer Support Bot, Surveillance Agent]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Production vs. Staging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☐ Production   ☐ Staging   ☐ Sample App (no prod access)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Expected Trace Volume / 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[e.g., ~50K spans/day — estimate OK to start]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LLM Provider(s)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[OpenAI / Anthropic / AWS Bedrock / GCP Vertex / Azure OAI]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Orchestration Framework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[LangChain / LlamaIndex / LangGraph / Custom / None]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Vector DB (if RAG)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[Pinecone / Weaviate / 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pgvector</w:t>
            </w: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 / Internal / N/A]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2">
      <w:pPr>
        <w:spacing w:after="80" w:lineRule="auto"/>
        <w:ind w:left="360" w:firstLine="0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18"/>
          <w:szCs w:val="18"/>
          <w:rtl w:val="0"/>
        </w:rPr>
        <w:t xml:space="preserve">ℹ  Limit to one use case. Additional applications can be added in a follow-on expansion scope.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pStyle w:val="Heading2"/>
        <w:spacing w:after="80" w:before="28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2</w:t>
      </w:r>
      <w:r w:rsidDel="00000000" w:rsidR="00000000" w:rsidRPr="00000000">
        <w:rPr>
          <w:color w:val="2f1ca0"/>
          <w:rtl w:val="0"/>
        </w:rPr>
        <w:t xml:space="preserve">c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4"/>
          <w:szCs w:val="24"/>
          <w:rtl w:val="0"/>
        </w:rPr>
        <w:t xml:space="preserve">.  Implementation Requirements</w:t>
      </w:r>
      <w:r w:rsidDel="00000000" w:rsidR="00000000" w:rsidRPr="00000000">
        <w:rPr>
          <w:rtl w:val="0"/>
        </w:rPr>
      </w:r>
    </w:p>
    <w:tbl>
      <w:tblPr>
        <w:tblStyle w:val="Table6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2820"/>
        <w:gridCol w:w="6180"/>
        <w:tblGridChange w:id="0">
          <w:tblGrid>
            <w:gridCol w:w="360"/>
            <w:gridCol w:w="2820"/>
            <w:gridCol w:w="618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Requirement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6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Notes / Status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8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D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eployment model confirmed for POC (</w:t>
            </w:r>
            <w:r w:rsidDel="00000000" w:rsidR="00000000" w:rsidRPr="00000000">
              <w:rPr>
                <w:color w:val="111111"/>
                <w:rtl w:val="0"/>
              </w:rPr>
              <w:t xml:space="preserve">SaaS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, VPC, </w:t>
            </w:r>
            <w:r w:rsidDel="00000000" w:rsidR="00000000" w:rsidRPr="00000000">
              <w:rPr>
                <w:color w:val="111111"/>
                <w:rtl w:val="0"/>
              </w:rPr>
              <w:t xml:space="preserve">Private Connect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Security review initiated (if required)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E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Procurement / legal review timeline known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5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API keys / LLM provider credentials available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Slack / communication channel created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6">
      <w:pPr>
        <w:spacing w:after="8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spacing w:after="80" w:lineRule="auto"/>
        <w:ind w:left="360" w:firstLine="0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18"/>
          <w:szCs w:val="18"/>
          <w:rtl w:val="0"/>
        </w:rPr>
        <w:t xml:space="preserve">ℹ  Any unchecked item at kickoff is a blocker. Escalate immediately.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Bdr>
          <w:bottom w:color="d1d5db" w:space="0" w:sz="4" w:val="single"/>
        </w:pBdr>
        <w:spacing w:after="120" w:before="12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2"/>
        <w:rPr>
          <w:color w:val="2f1ca0"/>
        </w:rPr>
      </w:pPr>
      <w:bookmarkStart w:colFirst="0" w:colLast="0" w:name="_tlsi3nwnd27a" w:id="1"/>
      <w:bookmarkEnd w:id="1"/>
      <w:r w:rsidDel="00000000" w:rsidR="00000000" w:rsidRPr="00000000">
        <w:rPr>
          <w:color w:val="2f1ca0"/>
          <w:rtl w:val="0"/>
        </w:rPr>
        <w:t xml:space="preserve">2d. VPC Deployment Scoping</w:t>
      </w:r>
    </w:p>
    <w:tbl>
      <w:tblPr>
        <w:tblStyle w:val="Table7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60"/>
        <w:gridCol w:w="6075"/>
        <w:gridCol w:w="2925"/>
        <w:tblGridChange w:id="0">
          <w:tblGrid>
            <w:gridCol w:w="360"/>
            <w:gridCol w:w="6075"/>
            <w:gridCol w:w="292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B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Item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Response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E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Are you running in a cloud provider, hybrid cloud, or own data center? (GCP, AWS, Azure, etc)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Will Arize be able to leverage a managed kubernetes cluster? (AKS, EKS, GKE, etc)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4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Is the cluster and nodes dedicated to running the Arize platform?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7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Will Arize be able to leverage a dedicated node pool and storage?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8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A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What is your SMTP service? (Own smtp service, Sendgrid, AWS SNS, etc)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D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Will Arize have access to kubectl to operate and upgrade the cluster?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0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Can we pull images from 'ch.hub.arize.com', or what docker registry is available? (GCR, ECR, ACR, etc)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3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Is there access to a Blob Store? (GCS, S3, Azure Blob)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6">
            <w:pPr>
              <w:rPr>
                <w:color w:val="111111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Are the specific custom encryption keys on the Blob Store (AWS KMS, GCP CMEK, etc)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88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3.  </w:t>
      </w:r>
      <w:r w:rsidDel="00000000" w:rsidR="00000000" w:rsidRPr="00000000">
        <w:rPr>
          <w:color w:val="2f1ca0"/>
          <w:rtl w:val="0"/>
        </w:rPr>
        <w:t xml:space="preserve">Business Value &amp; Use-Case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 Alignment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pacing w:after="60" w:before="60" w:lineRule="auto"/>
        <w:rPr/>
      </w:pPr>
      <w:r w:rsidDel="00000000" w:rsidR="00000000" w:rsidRPr="00000000">
        <w:rPr>
          <w:rtl w:val="0"/>
        </w:rPr>
      </w:r>
    </w:p>
    <w:tbl>
      <w:tblPr>
        <w:tblStyle w:val="Table8"/>
        <w:tblW w:w="978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030"/>
        <w:gridCol w:w="6750"/>
        <w:tblGridChange w:id="0">
          <w:tblGrid>
            <w:gridCol w:w="3030"/>
            <w:gridCol w:w="675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Business Outcome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Notes / Context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Increase revenue: 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Improve agent quality to drive revenue / conversion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5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6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Reduce costs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Reduce LLM costs, debugging time, </w:t>
            </w:r>
            <w:r w:rsidDel="00000000" w:rsidR="00000000" w:rsidRPr="00000000">
              <w:rPr>
                <w:color w:val="111111"/>
                <w:rtl w:val="0"/>
              </w:rPr>
              <w:t xml:space="preserve">governance &amp; compliance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Mitigate Risk</w:t>
            </w:r>
            <w:r w:rsidDel="00000000" w:rsidR="00000000" w:rsidRPr="00000000">
              <w:rPr>
                <w:color w:val="111111"/>
                <w:rtl w:val="0"/>
              </w:rPr>
              <w:t xml:space="preserve">: 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Accelerate iteration, reduce time-to-production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9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AA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color w:val="111111"/>
          <w:sz w:val="20"/>
          <w:szCs w:val="20"/>
          <w:rtl w:val="0"/>
        </w:rPr>
        <w:t xml:space="preserve">How success is measured toda</w:t>
      </w:r>
      <w:r w:rsidDel="00000000" w:rsidR="00000000" w:rsidRPr="00000000">
        <w:rPr>
          <w:color w:val="111111"/>
          <w:rtl w:val="0"/>
        </w:rPr>
        <w:t xml:space="preserve">y</w:t>
      </w:r>
      <w:r w:rsidDel="00000000" w:rsidR="00000000" w:rsidRPr="00000000">
        <w:rPr>
          <w:rFonts w:ascii="Inter" w:cs="Inter" w:eastAsia="Inter" w:hAnsi="Inter"/>
          <w:color w:val="111111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color w:val="6b7280"/>
          <w:sz w:val="20"/>
          <w:szCs w:val="20"/>
          <w:rtl w:val="0"/>
        </w:rPr>
        <w:t xml:space="preserve">___________________________________________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4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Success Criteria 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 (3–5 criteria)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spacing w:after="100" w:lineRule="auto"/>
        <w:rPr/>
      </w:pPr>
      <w:r w:rsidDel="00000000" w:rsidR="00000000" w:rsidRPr="00000000">
        <w:rPr>
          <w:i w:val="1"/>
          <w:iCs w:val="1"/>
          <w:color w:val="6b7280"/>
          <w:rtl w:val="0"/>
        </w:rPr>
        <w:t xml:space="preserve">Select 3-5 criteria from the menu below</w:t>
      </w: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tbl>
      <w:tblPr>
        <w:tblStyle w:val="Table9"/>
        <w:tblW w:w="9885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75"/>
        <w:gridCol w:w="4995"/>
        <w:gridCol w:w="3120"/>
        <w:gridCol w:w="1395"/>
        <w:tblGridChange w:id="0">
          <w:tblGrid>
            <w:gridCol w:w="375"/>
            <w:gridCol w:w="4995"/>
            <w:gridCol w:w="3120"/>
            <w:gridCol w:w="1395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AF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Criteria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1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 Target / Notes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2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de9fb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3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4c1d95"/>
                <w:sz w:val="19"/>
                <w:szCs w:val="19"/>
                <w:rtl w:val="0"/>
              </w:rPr>
              <w:t xml:space="preserve">LLM / Agent Observability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Framework-agnostic tracing via OpenInference/OTel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all agent steps, tool calls, and retrievals captured regardless of orchestration 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100% of spans visible within 24 hrs of kickoff; all frameworks instrumented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A">
            <w:pPr>
              <w:rPr/>
            </w:pPr>
            <w:hyperlink r:id="rId7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Tracing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Session-level agent evaluation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measure end-to-end task completion, not just individual span quality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Agent task completion rate &gt; X% measured at session level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E">
            <w:pPr>
              <w:rPr/>
            </w:pPr>
            <w:hyperlink r:id="rId8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B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0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Online LLM-as-a-judge evals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running continuously on live traffic (hallucination, relevance, Q&amp;A correctness, toxicity)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Hallucination rate &lt; X% measured automatically on all prod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2">
            <w:pPr>
              <w:rPr/>
            </w:pPr>
            <w:hyperlink r:id="rId9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AI copilot: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autonomous root-cause analysis and auto-generated evals surfaced directly from production traces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Mean time to root cause reduced from ___ days to &lt; 4 hrs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6">
            <w:pPr>
              <w:rPr/>
            </w:pPr>
            <w:hyperlink r:id="rId10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Evaluation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8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Prompt IDE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with version control, side-by-side comparison, and production trace replay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iterate without leaving the platform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___ prompt variants tested per sprint (target: 2-3x current)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A">
            <w:pPr>
              <w:rPr/>
            </w:pPr>
            <w:hyperlink r:id="rId11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Iteration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C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Export curated datasets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from live production traces and run reproducible experiments end-to-end in AX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Dataset curated from prod traces and experiment run within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E">
            <w:pPr>
              <w:rPr/>
            </w:pPr>
            <w:hyperlink r:id="rId12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Iteration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C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0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Production-ready, customizable dashboards </w:t>
            </w:r>
            <w:r w:rsidDel="00000000" w:rsidR="00000000" w:rsidRPr="00000000">
              <w:rPr>
                <w:color w:val="111111"/>
                <w:rtl w:val="0"/>
              </w:rPr>
              <w:t xml:space="preserve">on cost, latency, token usage, custom evals and more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Cost per query visible; monthly LLM spend attributed by use case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2">
            <w:pPr>
              <w:rPr/>
            </w:pPr>
            <w:hyperlink r:id="rId1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Dashboards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4">
            <w:pPr>
              <w:rPr/>
            </w:pPr>
            <w:r w:rsidDel="00000000" w:rsidR="00000000" w:rsidRPr="00000000">
              <w:rPr>
                <w:b w:val="1"/>
                <w:bCs w:val="1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Production-grade alerting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on quality degradation with integrations to Slack, PagerDuty, webh</w:t>
            </w:r>
            <w:r w:rsidDel="00000000" w:rsidR="00000000" w:rsidRPr="00000000">
              <w:rPr>
                <w:color w:val="111111"/>
                <w:rtl w:val="0"/>
              </w:rPr>
              <w:t xml:space="preserve">ooks: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not just email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PagerDuty alert fires within 5 min of hallucination rate threshold breach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6">
            <w:pPr>
              <w:rPr/>
            </w:pPr>
            <w:hyperlink r:id="rId14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Headless debugging</w:t>
            </w:r>
            <w:r w:rsidDel="00000000" w:rsidR="00000000" w:rsidRPr="00000000">
              <w:rPr>
                <w:color w:val="111111"/>
                <w:rtl w:val="0"/>
              </w:rPr>
              <w:t xml:space="preserve"> ability of GenAI traces leveraging a CLI and Skills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9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e.g., Spans pulled into coding agent in less than a minute for further analysis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A">
            <w:pPr>
              <w:rPr/>
            </w:pPr>
            <w:hyperlink r:id="rId15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Iteration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eef2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e3a8a"/>
                <w:sz w:val="19"/>
                <w:szCs w:val="19"/>
                <w:rtl w:val="0"/>
              </w:rPr>
              <w:t xml:space="preserve">Traditional ML Observability — AX Exclusive vs. All LLM-Only Competitors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D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Unified LLM + traditional ML observability in a single platform</w:t>
            </w:r>
            <w:r w:rsidDel="00000000" w:rsidR="00000000" w:rsidRPr="00000000">
              <w:rPr>
                <w:color w:val="111111"/>
                <w:rtl w:val="0"/>
              </w:rPr>
              <w:t xml:space="preserve">: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monitor classification, regression, and ranking models alongside LLM agents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1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ML surveillance models (F1, MAE, NDCG) and LLM agents visible in one pane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2">
            <w:pPr>
              <w:rPr/>
            </w:pPr>
            <w:hyperlink r:id="rId1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ML </w:t>
              </w:r>
            </w:hyperlink>
            <w:hyperlink r:id="rId17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4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Feature-level drift monitoring with automated alerts when production distribution deviates from training baseline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5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Drift alert configured for top 10 features; PSI threshold = ___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6">
            <w:pPr>
              <w:rPr/>
            </w:pPr>
            <w:hyperlink r:id="rId1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Drift </w:t>
              </w:r>
            </w:hyperlink>
            <w:hyperlink r:id="rId19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Data quality monitoring for features, predictions, and actuals with segment-level drill-down (performance tracing)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Data quality monitor live on all input features within Week 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A">
            <w:pPr>
              <w:rPr/>
            </w:pPr>
            <w:hyperlink r:id="rId2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Data Quality </w:t>
              </w:r>
            </w:hyperlink>
            <w:hyperlink r:id="rId21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Custom metrics and custom monitoring rules — define any business KPI and alert on it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Custom metric defined and alerting within Week 2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E">
            <w:pPr>
              <w:rPr/>
            </w:pPr>
            <w:hyperlink r:id="rId22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Monitoring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4"/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0fdf4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EF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4532d"/>
                <w:sz w:val="19"/>
                <w:szCs w:val="19"/>
                <w:rtl w:val="0"/>
              </w:rPr>
              <w:t xml:space="preserve">Platform, Security &amp; Enterprise Readiness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4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Scalability:</w:t>
            </w:r>
            <w:r w:rsidDel="00000000" w:rsidR="00000000" w:rsidRPr="00000000">
              <w:rPr>
                <w:color w:val="111111"/>
                <w:rtl w:val="0"/>
              </w:rPr>
              <w:t xml:space="preserve"> Ability to handle large data volumes and ingestion on tracing, datasets, and playground execution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5">
            <w:pPr>
              <w:rPr/>
            </w:pPr>
            <w:r w:rsidDel="00000000" w:rsidR="00000000" w:rsidRPr="00000000">
              <w:rPr>
                <w:i w:val="1"/>
                <w:iCs w:val="1"/>
                <w:color w:val="6b7280"/>
                <w:rtl w:val="0"/>
              </w:rPr>
              <w:t xml:space="preserve">e.g., 50K datasets, 10M+ traces, executing 1K rows in playground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6">
            <w:pPr>
              <w:rPr/>
            </w:pPr>
            <w:hyperlink r:id="rId23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8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Flexible deployment: Arize SaaS (GCP), VPC/Private Connect, or fully self-hosted — with CMEK encryption support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VPC deployment confirmed; CMEK validated in DR paper exercise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A">
            <w:pPr>
              <w:rPr/>
            </w:pPr>
            <w:hyperlink r:id="rId24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SOC 2 + HIPAA certified platform with audit logs, SSO/SAML, and API-driven management — production-ready today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D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1"/>
                <w:iCs w:val="1"/>
                <w:color w:val="6b7280"/>
                <w:sz w:val="20"/>
                <w:szCs w:val="20"/>
                <w:rtl w:val="0"/>
              </w:rPr>
              <w:t xml:space="preserve">e.g., SSO configured; audit log access validated; compliance review passed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0FE">
            <w:pPr>
              <w:rPr/>
            </w:pPr>
            <w:hyperlink r:id="rId25">
              <w:r w:rsidDel="00000000" w:rsidR="00000000" w:rsidRPr="00000000">
                <w:rPr>
                  <w:rFonts w:ascii="Inter" w:cs="Inter" w:eastAsia="Inter" w:hAnsi="Inter"/>
                  <w:i w:val="0"/>
                  <w:iCs w:val="0"/>
                  <w:color w:val="1155cc"/>
                  <w:sz w:val="20"/>
                  <w:szCs w:val="20"/>
                  <w:u w:val="single"/>
                  <w:rtl w:val="0"/>
                </w:rPr>
                <w:t xml:space="preserve">Security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FF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3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4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5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6">
      <w:pPr>
        <w:pStyle w:val="Heading1"/>
        <w:pBdr>
          <w:bottom w:color="6b46c1" w:space="0" w:sz="4" w:val="single"/>
        </w:pBdr>
        <w:spacing w:after="120" w:before="360" w:lineRule="auto"/>
        <w:rPr/>
      </w:pPr>
      <w:r w:rsidDel="00000000" w:rsidR="00000000" w:rsidRPr="00000000">
        <w:rPr>
          <w:color w:val="2f1ca0"/>
          <w:rtl w:val="0"/>
        </w:rPr>
        <w:t xml:space="preserve">5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Timeline &amp; Milestones</w:t>
      </w:r>
      <w:r w:rsidDel="00000000" w:rsidR="00000000" w:rsidRPr="00000000">
        <w:rPr>
          <w:rtl w:val="0"/>
        </w:rPr>
      </w:r>
    </w:p>
    <w:tbl>
      <w:tblPr>
        <w:tblStyle w:val="Table10"/>
        <w:tblW w:w="93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275"/>
        <w:gridCol w:w="2010"/>
        <w:gridCol w:w="3105"/>
        <w:gridCol w:w="2970"/>
        <w:tblGridChange w:id="0">
          <w:tblGrid>
            <w:gridCol w:w="1275"/>
            <w:gridCol w:w="2010"/>
            <w:gridCol w:w="3105"/>
            <w:gridCol w:w="29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7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8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Owner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9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Milestone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A">
            <w:pPr>
              <w:rPr/>
            </w:pPr>
            <w:r w:rsidDel="00000000" w:rsidR="00000000" w:rsidRPr="00000000">
              <w:rPr>
                <w:b w:val="1"/>
                <w:bCs w:val="1"/>
                <w:color w:val="111111"/>
                <w:rtl w:val="0"/>
              </w:rPr>
              <w:t xml:space="preserve">Docs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Arize + </w:t>
            </w: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D">
            <w:pPr>
              <w:rPr/>
            </w:pPr>
            <w:r w:rsidDel="00000000" w:rsidR="00000000" w:rsidRPr="00000000">
              <w:rPr>
                <w:rtl w:val="0"/>
              </w:rPr>
              <w:t xml:space="preserve">PoC Scoping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E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0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1">
            <w:pPr>
              <w:rPr/>
            </w:pPr>
            <w:r w:rsidDel="00000000" w:rsidR="00000000" w:rsidRPr="00000000">
              <w:rPr>
                <w:rtl w:val="0"/>
              </w:rPr>
              <w:t xml:space="preserve">Kickoff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2">
            <w:pPr>
              <w:rPr/>
            </w:pPr>
            <w:r w:rsidDel="00000000" w:rsidR="00000000" w:rsidRPr="00000000">
              <w:rPr>
                <w:rtl w:val="0"/>
              </w:rPr>
              <w:t xml:space="preserve">-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4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Eng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5">
            <w:pPr>
              <w:rPr/>
            </w:pPr>
            <w:r w:rsidDel="00000000" w:rsidR="00000000" w:rsidRPr="00000000">
              <w:rPr>
                <w:rtl w:val="0"/>
              </w:rPr>
              <w:t xml:space="preserve">Setup instrumentation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6">
            <w:pPr>
              <w:rPr/>
            </w:pPr>
            <w:hyperlink r:id="rId2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Tracing Setup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8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9">
            <w:pPr>
              <w:rPr/>
            </w:pPr>
            <w:r w:rsidDel="00000000" w:rsidR="00000000" w:rsidRPr="00000000">
              <w:rPr>
                <w:rtl w:val="0"/>
              </w:rPr>
              <w:t xml:space="preserve">Evaluation Configuration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A">
            <w:pPr>
              <w:rPr/>
            </w:pPr>
            <w:hyperlink r:id="rId2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Evaluators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C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D">
            <w:pPr>
              <w:rPr/>
            </w:pPr>
            <w:r w:rsidDel="00000000" w:rsidR="00000000" w:rsidRPr="00000000">
              <w:rPr>
                <w:rtl w:val="0"/>
              </w:rPr>
              <w:t xml:space="preserve">Alyx, Review Progress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E">
            <w:pPr>
              <w:rPr/>
            </w:pPr>
            <w:hyperlink r:id="rId28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Alyx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1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0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1">
            <w:pPr>
              <w:rPr/>
            </w:pPr>
            <w:r w:rsidDel="00000000" w:rsidR="00000000" w:rsidRPr="00000000">
              <w:rPr>
                <w:rtl w:val="0"/>
              </w:rPr>
              <w:t xml:space="preserve">Monitoring, Alerting Setup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2">
            <w:pPr>
              <w:rPr/>
            </w:pPr>
            <w:hyperlink r:id="rId29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Monitors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4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5">
            <w:pPr>
              <w:rPr/>
            </w:pPr>
            <w:r w:rsidDel="00000000" w:rsidR="00000000" w:rsidRPr="00000000">
              <w:rPr>
                <w:rtl w:val="0"/>
              </w:rPr>
              <w:t xml:space="preserve">Experimentation Walkthrough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6">
            <w:pPr>
              <w:rPr/>
            </w:pPr>
            <w:hyperlink r:id="rId30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Experiments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7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8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9">
            <w:pPr>
              <w:rPr/>
            </w:pPr>
            <w:r w:rsidDel="00000000" w:rsidR="00000000" w:rsidRPr="00000000">
              <w:rPr>
                <w:rtl w:val="0"/>
              </w:rPr>
              <w:t xml:space="preserve">PoC Readout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A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B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C">
            <w:pPr>
              <w:rPr/>
            </w:pPr>
            <w:r w:rsidDel="00000000" w:rsidR="00000000" w:rsidRPr="00000000">
              <w:rPr>
                <w:color w:val="111111"/>
                <w:rtl w:val="0"/>
              </w:rPr>
              <w:t xml:space="preserve">Customer</w:t>
            </w: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 Leadership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D">
            <w:pPr>
              <w:rPr/>
            </w:pPr>
            <w:r w:rsidDel="00000000" w:rsidR="00000000" w:rsidRPr="00000000">
              <w:rPr>
                <w:rtl w:val="0"/>
              </w:rPr>
              <w:t xml:space="preserve">Go/ No-Go Decision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2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0">
            <w:pPr>
              <w:rPr/>
            </w:pPr>
            <w:r w:rsidDel="00000000" w:rsidR="00000000" w:rsidRPr="00000000"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1">
            <w:pPr>
              <w:rPr/>
            </w:pPr>
            <w:r w:rsidDel="00000000" w:rsidR="00000000" w:rsidRPr="00000000">
              <w:rPr>
                <w:rtl w:val="0"/>
              </w:rPr>
              <w:t xml:space="preserve">Commercial Steps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3">
            <w:pPr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4">
            <w:pPr>
              <w:rPr>
                <w:rFonts w:ascii="Inter" w:cs="Inter" w:eastAsia="Inter" w:hAnsi="Inter"/>
                <w:i w:val="0"/>
                <w:iCs w:val="0"/>
                <w:color w:val="111111"/>
                <w:sz w:val="20"/>
                <w:szCs w:val="20"/>
              </w:rPr>
            </w:pPr>
            <w:r w:rsidDel="00000000" w:rsidR="00000000" w:rsidRPr="00000000">
              <w:rPr>
                <w:color w:val="111111"/>
                <w:rtl w:val="0"/>
              </w:rPr>
              <w:t xml:space="preserve">Both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5">
            <w:pPr>
              <w:rPr/>
            </w:pPr>
            <w:r w:rsidDel="00000000" w:rsidR="00000000" w:rsidRPr="00000000">
              <w:rPr>
                <w:rtl w:val="0"/>
              </w:rPr>
              <w:t xml:space="preserve">Go-live</w:t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6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37">
      <w:pPr>
        <w:pStyle w:val="Heading1"/>
        <w:pBdr>
          <w:bottom w:color="6b46c1" w:space="0" w:sz="4" w:val="single"/>
        </w:pBdr>
        <w:spacing w:after="120" w:before="360" w:lineRule="auto"/>
        <w:rPr>
          <w:color w:val="2f1ca0"/>
        </w:rPr>
      </w:pPr>
      <w:r w:rsidDel="00000000" w:rsidR="00000000" w:rsidRPr="00000000">
        <w:rPr>
          <w:color w:val="2f1ca0"/>
          <w:rtl w:val="0"/>
        </w:rPr>
        <w:t xml:space="preserve">6</w:t>
      </w:r>
      <w:r w:rsidDel="00000000" w:rsidR="00000000" w:rsidRPr="00000000">
        <w:rPr>
          <w:rFonts w:ascii="Inter" w:cs="Inter" w:eastAsia="Inter" w:hAnsi="Inter"/>
          <w:b w:val="1"/>
          <w:bCs w:val="1"/>
          <w:color w:val="2f1ca0"/>
          <w:sz w:val="28"/>
          <w:szCs w:val="28"/>
          <w:rtl w:val="0"/>
        </w:rPr>
        <w:t xml:space="preserve">.  Trial Log &amp; Feedback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spacing w:after="100" w:lineRule="auto"/>
        <w:rPr/>
      </w:pP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Use this section throughout the </w:t>
      </w:r>
      <w:r w:rsidDel="00000000" w:rsidR="00000000" w:rsidRPr="00000000">
        <w:rPr>
          <w:i w:val="1"/>
          <w:iCs w:val="1"/>
          <w:color w:val="6b7280"/>
          <w:rtl w:val="0"/>
        </w:rPr>
        <w:t xml:space="preserve">PoC</w:t>
      </w:r>
      <w:r w:rsidDel="00000000" w:rsidR="00000000" w:rsidRPr="00000000">
        <w:rPr>
          <w:rFonts w:ascii="Inter" w:cs="Inter" w:eastAsia="Inter" w:hAnsi="Inter"/>
          <w:i w:val="1"/>
          <w:iCs w:val="1"/>
          <w:color w:val="6b7280"/>
          <w:sz w:val="20"/>
          <w:szCs w:val="20"/>
          <w:rtl w:val="0"/>
        </w:rPr>
        <w:t xml:space="preserve"> to record meeting notes, blockers, and running feedback.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spacing w:after="60" w:before="80" w:lineRule="auto"/>
        <w:rPr/>
      </w:pPr>
      <w:r w:rsidDel="00000000" w:rsidR="00000000" w:rsidRPr="00000000">
        <w:rPr>
          <w:rtl w:val="0"/>
        </w:rPr>
      </w:r>
    </w:p>
    <w:tbl>
      <w:tblPr>
        <w:tblStyle w:val="Table11"/>
        <w:tblW w:w="816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1400"/>
        <w:gridCol w:w="6760"/>
        <w:tblGridChange w:id="0">
          <w:tblGrid>
            <w:gridCol w:w="1400"/>
            <w:gridCol w:w="67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A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Date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3f4f6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B">
            <w:pPr>
              <w:rPr/>
            </w:pPr>
            <w:r w:rsidDel="00000000" w:rsidR="00000000" w:rsidRPr="00000000">
              <w:rPr>
                <w:rFonts w:ascii="Inter" w:cs="Inter" w:eastAsia="Inter" w:hAnsi="Inter"/>
                <w:b w:val="1"/>
                <w:bCs w:val="1"/>
                <w:color w:val="111111"/>
                <w:sz w:val="20"/>
                <w:szCs w:val="20"/>
                <w:rtl w:val="0"/>
              </w:rPr>
              <w:t xml:space="preserve">Notes / Action Items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C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D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E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3F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0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1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2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d1d5db" w:space="0" w:sz="4" w:val="single"/>
              <w:left w:color="d1d5db" w:space="0" w:sz="4" w:val="single"/>
              <w:bottom w:color="d1d5db" w:space="0" w:sz="4" w:val="single"/>
              <w:right w:color="d1d5db" w:space="0" w:sz="4" w:val="single"/>
            </w:tcBorders>
            <w:shd w:fill="ffffff" w:val="clear"/>
            <w:tcMar>
              <w:top w:w="80.0" w:type="dxa"/>
              <w:left w:w="120.0" w:type="dxa"/>
              <w:bottom w:w="80.0" w:type="dxa"/>
              <w:right w:w="120.0" w:type="dxa"/>
            </w:tcMar>
          </w:tcPr>
          <w:p w:rsidR="00000000" w:rsidDel="00000000" w:rsidP="00000000" w:rsidRDefault="00000000" w:rsidRPr="00000000" w14:paraId="00000143">
            <w:pPr>
              <w:rPr/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44">
      <w:pPr>
        <w:spacing w:after="0" w:before="240" w:lineRule="auto"/>
        <w:rPr/>
      </w:pPr>
      <w:r w:rsidDel="00000000" w:rsidR="00000000" w:rsidRPr="00000000">
        <w:rPr>
          <w:rtl w:val="0"/>
        </w:rPr>
      </w:r>
    </w:p>
    <w:sectPr>
      <w:headerReference r:id="rId31" w:type="default"/>
      <w:footerReference r:id="rId32" w:type="default"/>
      <w:pgSz w:h="15840" w:w="12240" w:orient="portrait"/>
      <w:pgMar w:bottom="1080" w:top="1080" w:left="1080" w:right="108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Georgia"/>
  <w:font w:name="Arial"/>
  <w:font w:name="Inter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6">
    <w:pPr>
      <w:pBdr>
        <w:top w:color="d1d5db" w:space="0" w:sz="4" w:val="single"/>
      </w:pBdr>
      <w:tabs>
        <w:tab w:val="right" w:leader="none" w:pos="9360"/>
      </w:tabs>
      <w:spacing w:before="0" w:lineRule="auto"/>
      <w:rPr/>
    </w:pPr>
    <w:r w:rsidDel="00000000" w:rsidR="00000000" w:rsidRPr="00000000">
      <w:rPr>
        <w:rFonts w:ascii="Inter" w:cs="Inter" w:eastAsia="Inter" w:hAnsi="Inter"/>
        <w:color w:val="9ca3af"/>
        <w:sz w:val="16"/>
        <w:szCs w:val="16"/>
        <w:rtl w:val="0"/>
      </w:rPr>
      <w:t xml:space="preserve">Arize AI — Confidential  Page</w:t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145">
    <w:pPr>
      <w:pBdr>
        <w:bottom w:color="6b46c1" w:space="0" w:sz="4" w:val="single"/>
      </w:pBdr>
      <w:spacing w:after="0" w:lineRule="auto"/>
      <w:rPr>
        <w:color w:val="2f1ca0"/>
      </w:rPr>
    </w:pPr>
    <w:r w:rsidDel="00000000" w:rsidR="00000000" w:rsidRPr="00000000">
      <w:rPr>
        <w:rFonts w:ascii="Inter" w:cs="Inter" w:eastAsia="Inter" w:hAnsi="Inter"/>
        <w:color w:val="9ca3af"/>
        <w:sz w:val="18"/>
        <w:szCs w:val="18"/>
        <w:rtl w:val="0"/>
      </w:rPr>
      <w:t xml:space="preserve">Arize AX  ·  Proof of </w:t>
    </w:r>
    <w:r w:rsidDel="00000000" w:rsidR="00000000" w:rsidRPr="00000000">
      <w:rPr>
        <w:color w:val="9ca3af"/>
        <w:sz w:val="18"/>
        <w:szCs w:val="18"/>
        <w:rtl w:val="0"/>
      </w:rPr>
      <w:t xml:space="preserve">Concept</w:t>
    </w:r>
    <w:r w:rsidDel="00000000" w:rsidR="00000000" w:rsidRPr="00000000">
      <w:rPr>
        <w:rFonts w:ascii="Inter" w:cs="Inter" w:eastAsia="Inter" w:hAnsi="Inter"/>
        <w:color w:val="9ca3af"/>
        <w:sz w:val="18"/>
        <w:szCs w:val="18"/>
        <w:rtl w:val="0"/>
      </w:rPr>
      <w:t xml:space="preserve">  —  </w:t>
    </w:r>
    <w:r w:rsidDel="00000000" w:rsidR="00000000" w:rsidRPr="00000000">
      <w:rPr>
        <w:rFonts w:ascii="Inter" w:cs="Inter" w:eastAsia="Inter" w:hAnsi="Inter"/>
        <w:b w:val="1"/>
        <w:bCs w:val="1"/>
        <w:color w:val="6b46c1"/>
        <w:sz w:val="18"/>
        <w:szCs w:val="18"/>
        <w:rtl w:val="0"/>
      </w:rPr>
      <w:t xml:space="preserve">[</w:t>
    </w:r>
    <w:r w:rsidDel="00000000" w:rsidR="00000000" w:rsidRPr="00000000">
      <w:rPr>
        <w:rFonts w:ascii="Inter" w:cs="Inter" w:eastAsia="Inter" w:hAnsi="Inter"/>
        <w:b w:val="1"/>
        <w:bCs w:val="1"/>
        <w:color w:val="2f1ca0"/>
        <w:sz w:val="18"/>
        <w:szCs w:val="18"/>
        <w:rtl w:val="0"/>
      </w:rPr>
      <w:t xml:space="preserve">Company Name]</w:t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Inter" w:cs="Inter" w:eastAsia="Inter" w:hAnsi="Inter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36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6b46c1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80" w:before="280" w:line="240" w:lineRule="auto"/>
      <w:ind w:left="0" w:right="0" w:firstLine="0"/>
      <w:jc w:val="left"/>
    </w:pPr>
    <w:rPr>
      <w:rFonts w:ascii="Inter" w:cs="Inter" w:eastAsia="Inter" w:hAnsi="Inter"/>
      <w:b w:val="1"/>
      <w:bCs w:val="1"/>
      <w:i w:val="0"/>
      <w:iCs w:val="0"/>
      <w:smallCaps w:val="0"/>
      <w:strike w:val="0"/>
      <w:color w:val="3b5bdb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1"/>
      <w:iCs w:val="1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2e74b5"/>
      <w:sz w:val="20"/>
      <w:szCs w:val="20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1f4d78"/>
      <w:sz w:val="20"/>
      <w:szCs w:val="20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Inter" w:cs="Inter" w:eastAsia="Inter" w:hAnsi="Inter"/>
      <w:b w:val="0"/>
      <w:bCs w:val="0"/>
      <w:i w:val="0"/>
      <w:iCs w:val="0"/>
      <w:smallCaps w:val="0"/>
      <w:strike w:val="0"/>
      <w:color w:val="000000"/>
      <w:sz w:val="56"/>
      <w:szCs w:val="5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15.0" w:type="dxa"/>
        <w:bottom w:w="0.0" w:type="dxa"/>
        <w:right w:w="1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arize.com/docs/ax/machine-learning/machine-learning/how-to-ml/data-quality-troubleshooting" TargetMode="External"/><Relationship Id="rId22" Type="http://schemas.openxmlformats.org/officeDocument/2006/relationships/hyperlink" Target="https://arize.com/docs/ax/machine-learning/machine-learning/how-to-ml/custom-metrics-api" TargetMode="External"/><Relationship Id="rId21" Type="http://schemas.openxmlformats.org/officeDocument/2006/relationships/hyperlink" Target="https://arize.com/docs/ax/machine-learning/machine-learning/how-to-ml/data-quality-troubleshooting" TargetMode="External"/><Relationship Id="rId24" Type="http://schemas.openxmlformats.org/officeDocument/2006/relationships/hyperlink" Target="https://arize.com/docs/ax/selfhosting/architecture" TargetMode="External"/><Relationship Id="rId23" Type="http://schemas.openxmlformats.org/officeDocument/2006/relationships/hyperlink" Target="https://arize.com/docs/ax/security-and-settings/sso-and-rbac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ize.com/docs/ax/evaluate/evaluators" TargetMode="External"/><Relationship Id="rId26" Type="http://schemas.openxmlformats.org/officeDocument/2006/relationships/hyperlink" Target="https://arize.com/docs/ax/agents/tracing-assistant" TargetMode="External"/><Relationship Id="rId25" Type="http://schemas.openxmlformats.org/officeDocument/2006/relationships/hyperlink" Target="https://arize.com/docs/ax/security-and-settings/compliance" TargetMode="External"/><Relationship Id="rId28" Type="http://schemas.openxmlformats.org/officeDocument/2006/relationships/hyperlink" Target="https://arize.com/docs/ax/alyx/meet-alyx" TargetMode="External"/><Relationship Id="rId27" Type="http://schemas.openxmlformats.org/officeDocument/2006/relationships/hyperlink" Target="https://arize.com/docs/ax/evaluate/evaluators" TargetMode="External"/><Relationship Id="rId5" Type="http://schemas.openxmlformats.org/officeDocument/2006/relationships/styles" Target="styles.xml"/><Relationship Id="rId6" Type="http://schemas.openxmlformats.org/officeDocument/2006/relationships/image" Target="media/image1.png"/><Relationship Id="rId29" Type="http://schemas.openxmlformats.org/officeDocument/2006/relationships/hyperlink" Target="https://arize.com/docs/ax/observe/production-monitoring" TargetMode="External"/><Relationship Id="rId7" Type="http://schemas.openxmlformats.org/officeDocument/2006/relationships/hyperlink" Target="https://arize.com/docs/ax/observe/tracing/setup" TargetMode="External"/><Relationship Id="rId8" Type="http://schemas.openxmlformats.org/officeDocument/2006/relationships/hyperlink" Target="https://arize.com/docs/ax/evaluate/evaluators/trace-and-session-evals/session-level-evaluations" TargetMode="External"/><Relationship Id="rId31" Type="http://schemas.openxmlformats.org/officeDocument/2006/relationships/header" Target="header1.xml"/><Relationship Id="rId30" Type="http://schemas.openxmlformats.org/officeDocument/2006/relationships/hyperlink" Target="https://arize.com/docs/ax/develop/datasets-and-experiments" TargetMode="External"/><Relationship Id="rId11" Type="http://schemas.openxmlformats.org/officeDocument/2006/relationships/hyperlink" Target="https://arize.com/docs/ax/prompts/prompt-playground" TargetMode="External"/><Relationship Id="rId10" Type="http://schemas.openxmlformats.org/officeDocument/2006/relationships/hyperlink" Target="https://arize.com/docs/ax/alyx/meet-alyx" TargetMode="External"/><Relationship Id="rId32" Type="http://schemas.openxmlformats.org/officeDocument/2006/relationships/footer" Target="footer1.xml"/><Relationship Id="rId13" Type="http://schemas.openxmlformats.org/officeDocument/2006/relationships/hyperlink" Target="https://arize.com/docs/ax/observe/dashboards" TargetMode="External"/><Relationship Id="rId12" Type="http://schemas.openxmlformats.org/officeDocument/2006/relationships/hyperlink" Target="https://arize.com/docs/ax/develop/datasets/how-to-datasets" TargetMode="External"/><Relationship Id="rId15" Type="http://schemas.openxmlformats.org/officeDocument/2006/relationships/hyperlink" Target="https://arize.com/docs/ax/agents/arize-skills" TargetMode="External"/><Relationship Id="rId14" Type="http://schemas.openxmlformats.org/officeDocument/2006/relationships/hyperlink" Target="https://arize.com/docs/ax/observe/production-monitoring" TargetMode="External"/><Relationship Id="rId17" Type="http://schemas.openxmlformats.org/officeDocument/2006/relationships/hyperlink" Target="https://arize.com/docs/ax/machine-learning/machine-learning/what-is-ml-observability" TargetMode="External"/><Relationship Id="rId16" Type="http://schemas.openxmlformats.org/officeDocument/2006/relationships/hyperlink" Target="https://arize.com/docs/ax/machine-learning/machine-learning/what-is-ml-observability" TargetMode="External"/><Relationship Id="rId19" Type="http://schemas.openxmlformats.org/officeDocument/2006/relationships/hyperlink" Target="https://arize.com/docs/ax/machine-learning/machine-learning/how-to-ml/drift-tracing" TargetMode="External"/><Relationship Id="rId18" Type="http://schemas.openxmlformats.org/officeDocument/2006/relationships/hyperlink" Target="https://arize.com/docs/ax/machine-learning/machine-learning/how-to-ml/drift-tracing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Inter-regular.ttf"/><Relationship Id="rId2" Type="http://schemas.openxmlformats.org/officeDocument/2006/relationships/font" Target="fonts/Inter-bold.ttf"/><Relationship Id="rId3" Type="http://schemas.openxmlformats.org/officeDocument/2006/relationships/font" Target="fonts/Inter-italic.ttf"/><Relationship Id="rId4" Type="http://schemas.openxmlformats.org/officeDocument/2006/relationships/font" Target="fonts/Inter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