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40" w:lineRule="auto"/>
        <w:rPr>
          <w:color w:val="2f1ca0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f1ca0"/>
          <w:sz w:val="50"/>
          <w:szCs w:val="50"/>
          <w:rtl w:val="0"/>
        </w:rPr>
        <w:t xml:space="preserve">Arize 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>
          <w:rFonts w:ascii="Inter" w:cs="Inter" w:eastAsia="Inter" w:hAnsi="Inter"/>
          <w:sz w:val="34"/>
          <w:szCs w:val="34"/>
        </w:rPr>
      </w:pPr>
      <w:r w:rsidDel="00000000" w:rsidR="00000000" w:rsidRPr="00000000">
        <w:rPr>
          <w:rFonts w:ascii="Inter" w:cs="Inter" w:eastAsia="Inter" w:hAnsi="Inter"/>
          <w:sz w:val="34"/>
          <w:szCs w:val="34"/>
          <w:rtl w:val="0"/>
        </w:rPr>
        <w:t xml:space="preserve">Proof of </w:t>
      </w:r>
      <w:r w:rsidDel="00000000" w:rsidR="00000000" w:rsidRPr="00000000">
        <w:rPr>
          <w:sz w:val="34"/>
          <w:szCs w:val="34"/>
          <w:rtl w:val="0"/>
        </w:rPr>
        <w:t xml:space="preserve">Concept</w:t>
      </w:r>
      <w:r w:rsidDel="00000000" w:rsidR="00000000" w:rsidRPr="00000000">
        <w:rPr>
          <w:rFonts w:ascii="Inter" w:cs="Inter" w:eastAsia="Inter" w:hAnsi="Inter"/>
          <w:sz w:val="34"/>
          <w:szCs w:val="34"/>
          <w:rtl w:val="0"/>
        </w:rPr>
        <w:t xml:space="preserve"> (</w:t>
      </w:r>
      <w:r w:rsidDel="00000000" w:rsidR="00000000" w:rsidRPr="00000000">
        <w:rPr>
          <w:sz w:val="34"/>
          <w:szCs w:val="34"/>
          <w:rtl w:val="0"/>
        </w:rPr>
        <w:t xml:space="preserve">PoC</w:t>
      </w:r>
      <w:r w:rsidDel="00000000" w:rsidR="00000000" w:rsidRPr="00000000">
        <w:rPr>
          <w:rFonts w:ascii="Inter" w:cs="Inter" w:eastAsia="Inter" w:hAnsi="Inter"/>
          <w:sz w:val="34"/>
          <w:szCs w:val="3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rPr/>
      </w:pPr>
      <w:r w:rsidDel="00000000" w:rsidR="00000000" w:rsidRPr="00000000">
        <w:rPr>
          <w:rtl w:val="0"/>
        </w:rPr>
        <w:t xml:space="preserve">A Proof of Concept is a 14-day trial conducted to prove the Arize AX Enterprise platform is compatible with your GenAI tech stack and achieve technical validation via mutually agreed success criteria.</w:t>
      </w:r>
      <w:r w:rsidDel="00000000" w:rsidR="00000000" w:rsidRPr="00000000">
        <w:rPr>
          <w:rtl w:val="0"/>
        </w:rPr>
        <w:t xml:space="preserve"> Below are the steps required from both teams to successfully complete a PoC together.</w:t>
      </w:r>
    </w:p>
    <w:p w:rsidR="00000000" w:rsidDel="00000000" w:rsidP="00000000" w:rsidRDefault="00000000" w:rsidRPr="00000000" w14:paraId="00000004">
      <w:pPr>
        <w:spacing w:after="60" w:before="0" w:lineRule="auto"/>
        <w:rPr>
          <w:color w:val="3b5bdb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color w:val="3b5bdb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6736860" cy="169846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6860" cy="1698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bottom w:color="6b46c1" w:space="0" w:sz="4" w:val="single"/>
        </w:pBdr>
        <w:spacing w:after="120" w:before="360" w:lineRule="auto"/>
        <w:rPr>
          <w:color w:val="2f1ca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f1ca0"/>
          <w:sz w:val="28"/>
          <w:szCs w:val="28"/>
          <w:rtl w:val="0"/>
        </w:rPr>
        <w:t xml:space="preserve">1.  Executive Summary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[Company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Start Date /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Start: _____ / End: _____</w:t>
            </w:r>
            <w:r w:rsidDel="00000000" w:rsidR="00000000" w:rsidRPr="00000000">
              <w:rPr>
                <w:i w:val="1"/>
                <w:iCs w:val="1"/>
                <w:color w:val="6b7280"/>
                <w:rtl w:val="0"/>
              </w:rPr>
              <w:t xml:space="preserve"> - [X] Weeks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Framework(s)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[LangChain / LangGraph / LlamaIndex / Custom / etc.]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Current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[DataDog / Splunk / Homegrown / None]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[SaaS / VPC / On-Prem]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Decision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rPr>
          <w:color w:val="2f1ca0"/>
        </w:rPr>
      </w:pPr>
      <w:r w:rsidDel="00000000" w:rsidR="00000000" w:rsidRPr="00000000">
        <w:rPr>
          <w:color w:val="2f1ca0"/>
          <w:rtl w:val="0"/>
        </w:rPr>
        <w:t xml:space="preserve">Customer Team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1400"/>
        <w:gridCol w:w="3960"/>
        <w:tblGridChange w:id="0">
          <w:tblGrid>
            <w:gridCol w:w="2000"/>
            <w:gridCol w:w="2000"/>
            <w:gridCol w:w="14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Role /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% Time Committed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rPr>
          <w:color w:val="2f1ca0"/>
        </w:rPr>
      </w:pPr>
      <w:bookmarkStart w:colFirst="0" w:colLast="0" w:name="_wpm6hddf5udn" w:id="0"/>
      <w:bookmarkEnd w:id="0"/>
      <w:r w:rsidDel="00000000" w:rsidR="00000000" w:rsidRPr="00000000">
        <w:rPr>
          <w:color w:val="2f1ca0"/>
          <w:rtl w:val="0"/>
        </w:rPr>
        <w:t xml:space="preserve">Arize Team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2000"/>
        <w:gridCol w:w="3360"/>
        <w:tblGridChange w:id="0">
          <w:tblGrid>
            <w:gridCol w:w="2000"/>
            <w:gridCol w:w="2000"/>
            <w:gridCol w:w="2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pBdr>
          <w:bottom w:color="6b46c1" w:space="0" w:sz="4" w:val="single"/>
        </w:pBdr>
        <w:spacing w:after="120" w:before="360" w:lineRule="auto"/>
        <w:rPr>
          <w:color w:val="2f1ca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f1ca0"/>
          <w:sz w:val="28"/>
          <w:szCs w:val="28"/>
          <w:rtl w:val="0"/>
        </w:rPr>
        <w:t xml:space="preserve">2.  PoC Scoping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80" w:before="280" w:lineRule="auto"/>
        <w:rPr>
          <w:color w:val="2f1ca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f1ca0"/>
          <w:sz w:val="24"/>
          <w:szCs w:val="24"/>
          <w:rtl w:val="0"/>
        </w:rPr>
        <w:t xml:space="preserve">2a.  Communication Setup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60"/>
        <w:gridCol w:w="5400"/>
        <w:tblGridChange w:id="0">
          <w:tblGrid>
            <w:gridCol w:w="396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Slack / Communication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Check-in 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Primary Escalation Contact (</w:t>
            </w:r>
            <w:r w:rsidDel="00000000" w:rsidR="00000000" w:rsidRPr="00000000">
              <w:rPr>
                <w:color w:val="111111"/>
                <w:rtl w:val="0"/>
              </w:rPr>
              <w:t xml:space="preserve">Customer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Primary Escalation Contact (Arize)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spacing w:after="80" w:before="280" w:lineRule="auto"/>
        <w:rPr>
          <w:color w:val="2f1ca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f1ca0"/>
          <w:sz w:val="24"/>
          <w:szCs w:val="24"/>
          <w:rtl w:val="0"/>
        </w:rPr>
        <w:t xml:space="preserve">2b. 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6b7280"/>
          <w:sz w:val="20"/>
          <w:szCs w:val="20"/>
          <w:rtl w:val="0"/>
        </w:rPr>
        <w:t xml:space="preserve">Complete the fields below to lock in the PoC scope. </w:t>
      </w:r>
      <w:r w:rsidDel="00000000" w:rsidR="00000000" w:rsidRPr="00000000">
        <w:rPr>
          <w:b w:val="1"/>
          <w:bCs w:val="1"/>
          <w:i w:val="1"/>
          <w:iCs w:val="1"/>
          <w:color w:val="6b7280"/>
          <w:sz w:val="20"/>
          <w:szCs w:val="20"/>
          <w:rtl w:val="0"/>
        </w:rPr>
        <w:t xml:space="preserve">Only one use case</w:t>
      </w:r>
      <w:r w:rsidDel="00000000" w:rsidR="00000000" w:rsidRPr="00000000">
        <w:rPr>
          <w:rFonts w:ascii="Inter" w:cs="Inter" w:eastAsia="Inter" w:hAnsi="Inter"/>
          <w:i w:val="1"/>
          <w:iCs w:val="1"/>
          <w:color w:val="6b7280"/>
          <w:sz w:val="20"/>
          <w:szCs w:val="20"/>
          <w:rtl w:val="0"/>
        </w:rPr>
        <w:t xml:space="preserve"> should be selected.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35"/>
        <w:gridCol w:w="6225"/>
        <w:tblGridChange w:id="0">
          <w:tblGrid>
            <w:gridCol w:w="3135"/>
            <w:gridCol w:w="62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Predominant Coding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b7280"/>
                <w:rtl w:val="0"/>
              </w:rPr>
              <w:t xml:space="preserve">[e.g., Claude Code, Cursor, etc.]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Application Name /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[e.g., Customer Support Bot, Surveillance Agent]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Production vs. 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☐ Production   ☐ Staging   ☐ Sample App (no prod access)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Expected Trace Volume /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[e.g., ~50K spans/day — estimate OK to start]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LLM Provider(s)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[OpenAI / Anthropic / AWS Bedrock / GCP Vertex / Azure OAI]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Orchestration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[LangChain / LlamaIndex / LangGraph / Custom / None]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Vector DB (if RAG)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[Pinecone / Weaviate / 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pgvector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 / Internal / N/A]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80" w:lineRule="auto"/>
        <w:ind w:left="360" w:firstLine="0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6b7280"/>
          <w:sz w:val="18"/>
          <w:szCs w:val="18"/>
          <w:rtl w:val="0"/>
        </w:rPr>
        <w:t xml:space="preserve">ℹ  Limit to one use case. Additional applications can be added in a follow-on expansion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80" w:before="280" w:lineRule="auto"/>
        <w:rPr>
          <w:color w:val="2f1ca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f1ca0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2f1ca0"/>
          <w:rtl w:val="0"/>
        </w:rPr>
        <w:t xml:space="preserve">c</w:t>
      </w:r>
      <w:r w:rsidDel="00000000" w:rsidR="00000000" w:rsidRPr="00000000">
        <w:rPr>
          <w:rFonts w:ascii="Inter" w:cs="Inter" w:eastAsia="Inter" w:hAnsi="Inter"/>
          <w:b w:val="1"/>
          <w:bCs w:val="1"/>
          <w:color w:val="2f1ca0"/>
          <w:sz w:val="24"/>
          <w:szCs w:val="24"/>
          <w:rtl w:val="0"/>
        </w:rPr>
        <w:t xml:space="preserve">.  Implementation Requirements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820"/>
        <w:gridCol w:w="6180"/>
        <w:tblGridChange w:id="0">
          <w:tblGrid>
            <w:gridCol w:w="360"/>
            <w:gridCol w:w="2820"/>
            <w:gridCol w:w="6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Notes /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color w:val="111111"/>
                <w:rtl w:val="0"/>
              </w:rPr>
              <w:t xml:space="preserve">D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eployment model confirmed for POC (</w:t>
            </w:r>
            <w:r w:rsidDel="00000000" w:rsidR="00000000" w:rsidRPr="00000000">
              <w:rPr>
                <w:color w:val="111111"/>
                <w:rtl w:val="0"/>
              </w:rPr>
              <w:t xml:space="preserve">SaaS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, VPC, </w:t>
            </w:r>
            <w:r w:rsidDel="00000000" w:rsidR="00000000" w:rsidRPr="00000000">
              <w:rPr>
                <w:color w:val="111111"/>
                <w:rtl w:val="0"/>
              </w:rPr>
              <w:t xml:space="preserve">Private Connect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Security review initiated (if 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Procurement / legal review timeline 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API keys / LLM provider credentials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Slack / communication channel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lineRule="auto"/>
        <w:ind w:left="360" w:firstLine="0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6b7280"/>
          <w:sz w:val="18"/>
          <w:szCs w:val="18"/>
          <w:rtl w:val="0"/>
        </w:rPr>
        <w:t xml:space="preserve">ℹ  Any unchecked item at kickoff is a blocker. Escalate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bottom w:color="d1d5db" w:space="0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pBdr>
          <w:bottom w:color="6b46c1" w:space="0" w:sz="4" w:val="single"/>
        </w:pBdr>
        <w:spacing w:after="120" w:before="360" w:lineRule="auto"/>
        <w:rPr>
          <w:color w:val="2f1ca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f1ca0"/>
          <w:sz w:val="28"/>
          <w:szCs w:val="28"/>
          <w:rtl w:val="0"/>
        </w:rPr>
        <w:t xml:space="preserve">3.  </w:t>
      </w:r>
      <w:r w:rsidDel="00000000" w:rsidR="00000000" w:rsidRPr="00000000">
        <w:rPr>
          <w:color w:val="2f1ca0"/>
          <w:rtl w:val="0"/>
        </w:rPr>
        <w:t xml:space="preserve">Business Value &amp; Use-Case</w:t>
      </w:r>
      <w:r w:rsidDel="00000000" w:rsidR="00000000" w:rsidRPr="00000000">
        <w:rPr>
          <w:rFonts w:ascii="Inter" w:cs="Inter" w:eastAsia="Inter" w:hAnsi="Inter"/>
          <w:b w:val="1"/>
          <w:bCs w:val="1"/>
          <w:color w:val="2f1ca0"/>
          <w:sz w:val="28"/>
          <w:szCs w:val="28"/>
          <w:rtl w:val="0"/>
        </w:rPr>
        <w:t xml:space="preserve">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30"/>
        <w:gridCol w:w="6750"/>
        <w:tblGridChange w:id="0">
          <w:tblGrid>
            <w:gridCol w:w="3030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Business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Notes /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Increase revenue: 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Improve agent quality to drive revenue /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Reduce costs</w:t>
            </w:r>
            <w:r w:rsidDel="00000000" w:rsidR="00000000" w:rsidRPr="00000000">
              <w:rPr>
                <w:color w:val="111111"/>
                <w:rtl w:val="0"/>
              </w:rPr>
              <w:t xml:space="preserve">: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 Reduce LLM costs, debugging time, </w:t>
            </w:r>
            <w:r w:rsidDel="00000000" w:rsidR="00000000" w:rsidRPr="00000000">
              <w:rPr>
                <w:color w:val="111111"/>
                <w:rtl w:val="0"/>
              </w:rPr>
              <w:t xml:space="preserve">governance &amp;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Mitigate Risk</w:t>
            </w:r>
            <w:r w:rsidDel="00000000" w:rsidR="00000000" w:rsidRPr="00000000">
              <w:rPr>
                <w:color w:val="111111"/>
                <w:rtl w:val="0"/>
              </w:rPr>
              <w:t xml:space="preserve">: 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Accelerate iteration, reduce time-to-production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00" w:lineRule="auto"/>
        <w:rPr/>
      </w:pPr>
      <w:r w:rsidDel="00000000" w:rsidR="00000000" w:rsidRPr="00000000">
        <w:rPr>
          <w:rFonts w:ascii="Inter" w:cs="Inter" w:eastAsia="Inter" w:hAnsi="Inter"/>
          <w:color w:val="111111"/>
          <w:sz w:val="20"/>
          <w:szCs w:val="20"/>
          <w:rtl w:val="0"/>
        </w:rPr>
        <w:t xml:space="preserve">How success is measured toda</w:t>
      </w:r>
      <w:r w:rsidDel="00000000" w:rsidR="00000000" w:rsidRPr="00000000">
        <w:rPr>
          <w:color w:val="111111"/>
          <w:rtl w:val="0"/>
        </w:rPr>
        <w:t xml:space="preserve">y</w:t>
      </w:r>
      <w:r w:rsidDel="00000000" w:rsidR="00000000" w:rsidRPr="00000000">
        <w:rPr>
          <w:rFonts w:ascii="Inter" w:cs="Inter" w:eastAsia="Inter" w:hAnsi="Inter"/>
          <w:color w:val="111111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00" w:lineRule="auto"/>
        <w:rPr/>
      </w:pPr>
      <w:r w:rsidDel="00000000" w:rsidR="00000000" w:rsidRPr="00000000">
        <w:rPr>
          <w:rFonts w:ascii="Inter" w:cs="Inter" w:eastAsia="Inter" w:hAnsi="Inter"/>
          <w:color w:val="6b7280"/>
          <w:sz w:val="20"/>
          <w:szCs w:val="20"/>
          <w:rtl w:val="0"/>
        </w:rPr>
        <w:t xml:space="preserve">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pBdr>
          <w:bottom w:color="6b46c1" w:space="0" w:sz="4" w:val="single"/>
        </w:pBdr>
        <w:spacing w:after="120" w:before="360" w:lineRule="auto"/>
        <w:rPr>
          <w:color w:val="2f1ca0"/>
        </w:rPr>
      </w:pPr>
      <w:r w:rsidDel="00000000" w:rsidR="00000000" w:rsidRPr="00000000">
        <w:rPr>
          <w:color w:val="2f1ca0"/>
          <w:rtl w:val="0"/>
        </w:rPr>
        <w:t xml:space="preserve">4</w:t>
      </w:r>
      <w:r w:rsidDel="00000000" w:rsidR="00000000" w:rsidRPr="00000000">
        <w:rPr>
          <w:rFonts w:ascii="Inter" w:cs="Inter" w:eastAsia="Inter" w:hAnsi="Inter"/>
          <w:b w:val="1"/>
          <w:bCs w:val="1"/>
          <w:color w:val="2f1ca0"/>
          <w:sz w:val="28"/>
          <w:szCs w:val="28"/>
          <w:rtl w:val="0"/>
        </w:rPr>
        <w:t xml:space="preserve">.  </w:t>
      </w:r>
      <w:r w:rsidDel="00000000" w:rsidR="00000000" w:rsidRPr="00000000">
        <w:rPr>
          <w:rFonts w:ascii="Inter" w:cs="Inter" w:eastAsia="Inter" w:hAnsi="Inter"/>
          <w:b w:val="1"/>
          <w:bCs w:val="1"/>
          <w:color w:val="2f1ca0"/>
          <w:sz w:val="28"/>
          <w:szCs w:val="28"/>
          <w:rtl w:val="0"/>
        </w:rPr>
        <w:t xml:space="preserve">Success Criteria </w:t>
      </w:r>
      <w:r w:rsidDel="00000000" w:rsidR="00000000" w:rsidRPr="00000000">
        <w:rPr>
          <w:rFonts w:ascii="Inter" w:cs="Inter" w:eastAsia="Inter" w:hAnsi="Inter"/>
          <w:b w:val="1"/>
          <w:bCs w:val="1"/>
          <w:color w:val="2f1ca0"/>
          <w:sz w:val="28"/>
          <w:szCs w:val="28"/>
          <w:rtl w:val="0"/>
        </w:rPr>
        <w:t xml:space="preserve"> (3–5 criteria)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0" w:lineRule="auto"/>
        <w:rPr/>
      </w:pPr>
      <w:r w:rsidDel="00000000" w:rsidR="00000000" w:rsidRPr="00000000">
        <w:rPr>
          <w:i w:val="1"/>
          <w:iCs w:val="1"/>
          <w:color w:val="6b7280"/>
          <w:rtl w:val="0"/>
        </w:rPr>
        <w:t xml:space="preserve">Select 3-5 criteria from the menu below</w:t>
      </w:r>
      <w:r w:rsidDel="00000000" w:rsidR="00000000" w:rsidRPr="00000000">
        <w:rPr>
          <w:rFonts w:ascii="Inter" w:cs="Inter" w:eastAsia="Inter" w:hAnsi="Inter"/>
          <w:i w:val="1"/>
          <w:iCs w:val="1"/>
          <w:color w:val="6b728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8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75"/>
        <w:gridCol w:w="3360"/>
        <w:gridCol w:w="2880"/>
        <w:gridCol w:w="1530"/>
        <w:tblGridChange w:id="0">
          <w:tblGrid>
            <w:gridCol w:w="1575"/>
            <w:gridCol w:w="3360"/>
            <w:gridCol w:w="2880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Checkbox 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Customer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 Target /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de9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4c1d95"/>
                <w:sz w:val="19"/>
                <w:szCs w:val="19"/>
                <w:rtl w:val="0"/>
              </w:rPr>
              <w:t xml:space="preserve">LLM / Agent Observability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Framework-agnostic tracing via OpenInference/OTel</w:t>
            </w:r>
            <w:r w:rsidDel="00000000" w:rsidR="00000000" w:rsidRPr="00000000">
              <w:rPr>
                <w:color w:val="111111"/>
                <w:rtl w:val="0"/>
              </w:rPr>
              <w:t xml:space="preserve">: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 all agent steps, tool calls, and retrievals captured regardless of orchestration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e.g., 100% of spans visible within 24 hrs of kickoff; all frameworks instrumented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hyperlink r:id="rId7">
              <w:r w:rsidDel="00000000" w:rsidR="00000000" w:rsidRPr="00000000">
                <w:rPr>
                  <w:rFonts w:ascii="Inter" w:cs="Inter" w:eastAsia="Inter" w:hAnsi="Inter"/>
                  <w:i w:val="0"/>
                  <w:iCs w:val="0"/>
                  <w:color w:val="1155cc"/>
                  <w:sz w:val="20"/>
                  <w:szCs w:val="20"/>
                  <w:u w:val="single"/>
                  <w:rtl w:val="0"/>
                </w:rPr>
                <w:t xml:space="preserve">Tracing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Session-level agent evaluation</w:t>
            </w:r>
            <w:r w:rsidDel="00000000" w:rsidR="00000000" w:rsidRPr="00000000">
              <w:rPr>
                <w:color w:val="111111"/>
                <w:rtl w:val="0"/>
              </w:rPr>
              <w:t xml:space="preserve">: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 measure end-to-end task completion, not just individual span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e.g., Agent task completion rate &gt; X% measured at session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hyperlink r:id="rId8">
              <w:r w:rsidDel="00000000" w:rsidR="00000000" w:rsidRPr="00000000">
                <w:rPr>
                  <w:rFonts w:ascii="Inter" w:cs="Inter" w:eastAsia="Inter" w:hAnsi="Inter"/>
                  <w:i w:val="0"/>
                  <w:iCs w:val="0"/>
                  <w:color w:val="1155cc"/>
                  <w:sz w:val="20"/>
                  <w:szCs w:val="20"/>
                  <w:u w:val="single"/>
                  <w:rtl w:val="0"/>
                </w:rPr>
                <w:t xml:space="preserve">Evaluation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Online LLM-as-a-judge evals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 running continuously on live traffic (hallucination, relevance, Q&amp;A correctness, toxicity)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e.g., Hallucination rate &lt; X% measured automatically on all prod traces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hyperlink r:id="rId9">
              <w:r w:rsidDel="00000000" w:rsidR="00000000" w:rsidRPr="00000000">
                <w:rPr>
                  <w:rFonts w:ascii="Inter" w:cs="Inter" w:eastAsia="Inter" w:hAnsi="Inter"/>
                  <w:i w:val="0"/>
                  <w:iCs w:val="0"/>
                  <w:color w:val="1155cc"/>
                  <w:sz w:val="20"/>
                  <w:szCs w:val="20"/>
                  <w:u w:val="single"/>
                  <w:rtl w:val="0"/>
                </w:rPr>
                <w:t xml:space="preserve">Evaluation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AI copilot: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 autonomous root-cause analysis and auto-generated evals surfaced directly from production traces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e.g., Mean time to root cause reduced from ___ days to &lt; 4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hyperlink r:id="rId10">
              <w:r w:rsidDel="00000000" w:rsidR="00000000" w:rsidRPr="00000000">
                <w:rPr>
                  <w:rFonts w:ascii="Inter" w:cs="Inter" w:eastAsia="Inter" w:hAnsi="Inter"/>
                  <w:i w:val="0"/>
                  <w:iCs w:val="0"/>
                  <w:color w:val="1155cc"/>
                  <w:sz w:val="20"/>
                  <w:szCs w:val="20"/>
                  <w:u w:val="single"/>
                  <w:rtl w:val="0"/>
                </w:rPr>
                <w:t xml:space="preserve">Evaluation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Prompt IDE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 with version control, side-by-side comparison, and production trace replay</w:t>
            </w:r>
            <w:r w:rsidDel="00000000" w:rsidR="00000000" w:rsidRPr="00000000">
              <w:rPr>
                <w:color w:val="111111"/>
                <w:rtl w:val="0"/>
              </w:rPr>
              <w:t xml:space="preserve">: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 iterate without leaving the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e.g., ___ prompt variants tested per sprint (target: 2-3x current)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hyperlink r:id="rId11">
              <w:r w:rsidDel="00000000" w:rsidR="00000000" w:rsidRPr="00000000">
                <w:rPr>
                  <w:rFonts w:ascii="Inter" w:cs="Inter" w:eastAsia="Inter" w:hAnsi="Inter"/>
                  <w:i w:val="0"/>
                  <w:iCs w:val="0"/>
                  <w:color w:val="1155cc"/>
                  <w:sz w:val="20"/>
                  <w:szCs w:val="20"/>
                  <w:u w:val="single"/>
                  <w:rtl w:val="0"/>
                </w:rPr>
                <w:t xml:space="preserve">Iteration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Export curated datasets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 from live production traces and run reproducible experiments end-to-end in 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e.g., Dataset curated from prod traces and experiment run within 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hyperlink r:id="rId12">
              <w:r w:rsidDel="00000000" w:rsidR="00000000" w:rsidRPr="00000000">
                <w:rPr>
                  <w:rFonts w:ascii="Inter" w:cs="Inter" w:eastAsia="Inter" w:hAnsi="Inter"/>
                  <w:i w:val="0"/>
                  <w:iCs w:val="0"/>
                  <w:color w:val="1155cc"/>
                  <w:sz w:val="20"/>
                  <w:szCs w:val="20"/>
                  <w:u w:val="single"/>
                  <w:rtl w:val="0"/>
                </w:rPr>
                <w:t xml:space="preserve">Iteration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Production-ready, customizable dashboards </w:t>
            </w:r>
            <w:r w:rsidDel="00000000" w:rsidR="00000000" w:rsidRPr="00000000">
              <w:rPr>
                <w:color w:val="111111"/>
                <w:rtl w:val="0"/>
              </w:rPr>
              <w:t xml:space="preserve">on cost, latency, token usage, custom evals and more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e.g., Cost per query visible; monthly LLM spend attributed by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Dashboards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Production-grade alerting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 on quality degradation with integrations to Slack, PagerDuty, webh</w:t>
            </w:r>
            <w:r w:rsidDel="00000000" w:rsidR="00000000" w:rsidRPr="00000000">
              <w:rPr>
                <w:color w:val="111111"/>
                <w:rtl w:val="0"/>
              </w:rPr>
              <w:t xml:space="preserve">ooks: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 not just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e.g., PagerDuty alert fires within 5 min of hallucination rate threshold breach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hyperlink r:id="rId14">
              <w:r w:rsidDel="00000000" w:rsidR="00000000" w:rsidRPr="00000000">
                <w:rPr>
                  <w:rFonts w:ascii="Inter" w:cs="Inter" w:eastAsia="Inter" w:hAnsi="Inter"/>
                  <w:i w:val="0"/>
                  <w:iCs w:val="0"/>
                  <w:color w:val="1155cc"/>
                  <w:sz w:val="20"/>
                  <w:szCs w:val="20"/>
                  <w:u w:val="single"/>
                  <w:rtl w:val="0"/>
                </w:rPr>
                <w:t xml:space="preserve">Monitoring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Headless debugging</w:t>
            </w:r>
            <w:r w:rsidDel="00000000" w:rsidR="00000000" w:rsidRPr="00000000">
              <w:rPr>
                <w:color w:val="111111"/>
                <w:rtl w:val="0"/>
              </w:rPr>
              <w:t xml:space="preserve"> ability of GenAI traces leveraging a CLI and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i w:val="1"/>
                <w:iCs w:val="1"/>
                <w:color w:val="6b7280"/>
                <w:rtl w:val="0"/>
              </w:rPr>
              <w:t xml:space="preserve">e.g., Spans pulled into coding agent in less than a minute for further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Iteration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ef2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e3a8a"/>
                <w:sz w:val="19"/>
                <w:szCs w:val="19"/>
                <w:rtl w:val="0"/>
              </w:rPr>
              <w:t xml:space="preserve">Traditional ML Observability — AX Exclusive vs. All LLM-Only Competitors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Unified LLM + traditional ML observability in a single platform</w:t>
            </w:r>
            <w:r w:rsidDel="00000000" w:rsidR="00000000" w:rsidRPr="00000000">
              <w:rPr>
                <w:color w:val="111111"/>
                <w:rtl w:val="0"/>
              </w:rPr>
              <w:t xml:space="preserve">: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 monitor classification, regression, and ranking models alongside LLM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e.g., ML surveillance models (F1, MAE, NDCG) and LLM agents visible in one pane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ML </w:t>
              </w:r>
            </w:hyperlink>
            <w:hyperlink r:id="rId17">
              <w:r w:rsidDel="00000000" w:rsidR="00000000" w:rsidRPr="00000000">
                <w:rPr>
                  <w:rFonts w:ascii="Inter" w:cs="Inter" w:eastAsia="Inter" w:hAnsi="Inter"/>
                  <w:i w:val="0"/>
                  <w:iCs w:val="0"/>
                  <w:color w:val="1155cc"/>
                  <w:sz w:val="20"/>
                  <w:szCs w:val="20"/>
                  <w:u w:val="single"/>
                  <w:rtl w:val="0"/>
                </w:rPr>
                <w:t xml:space="preserve">Monitoring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Feature-level drift monitoring with automated alerts when production distribution deviates from training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e.g., Drift alert configured for top 10 features; PSI threshold = 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Drift </w:t>
              </w:r>
            </w:hyperlink>
            <w:hyperlink r:id="rId19">
              <w:r w:rsidDel="00000000" w:rsidR="00000000" w:rsidRPr="00000000">
                <w:rPr>
                  <w:rFonts w:ascii="Inter" w:cs="Inter" w:eastAsia="Inter" w:hAnsi="Inter"/>
                  <w:i w:val="0"/>
                  <w:iCs w:val="0"/>
                  <w:color w:val="1155cc"/>
                  <w:sz w:val="20"/>
                  <w:szCs w:val="20"/>
                  <w:u w:val="single"/>
                  <w:rtl w:val="0"/>
                </w:rPr>
                <w:t xml:space="preserve">Monitoring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Data quality monitoring for features, predictions, and actuals with segment-level drill-down (performance tracing)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e.g., Data quality monitor live on all input features within 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Data Quality </w:t>
              </w:r>
            </w:hyperlink>
            <w:hyperlink r:id="rId21">
              <w:r w:rsidDel="00000000" w:rsidR="00000000" w:rsidRPr="00000000">
                <w:rPr>
                  <w:rFonts w:ascii="Inter" w:cs="Inter" w:eastAsia="Inter" w:hAnsi="Inter"/>
                  <w:i w:val="0"/>
                  <w:iCs w:val="0"/>
                  <w:color w:val="1155cc"/>
                  <w:sz w:val="20"/>
                  <w:szCs w:val="20"/>
                  <w:u w:val="single"/>
                  <w:rtl w:val="0"/>
                </w:rPr>
                <w:t xml:space="preserve">Monitoring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Custom metrics and custom monitoring rules — define any business KPI and alert on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e.g., Custom metric defined and alerting within 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hyperlink r:id="rId22">
              <w:r w:rsidDel="00000000" w:rsidR="00000000" w:rsidRPr="00000000">
                <w:rPr>
                  <w:rFonts w:ascii="Inter" w:cs="Inter" w:eastAsia="Inter" w:hAnsi="Inter"/>
                  <w:i w:val="0"/>
                  <w:iCs w:val="0"/>
                  <w:color w:val="1155cc"/>
                  <w:sz w:val="20"/>
                  <w:szCs w:val="20"/>
                  <w:u w:val="single"/>
                  <w:rtl w:val="0"/>
                </w:rPr>
                <w:t xml:space="preserve">Monitoring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Platform, Security &amp; Enterprise Readiness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Scalability:</w:t>
            </w:r>
            <w:r w:rsidDel="00000000" w:rsidR="00000000" w:rsidRPr="00000000">
              <w:rPr>
                <w:color w:val="111111"/>
                <w:rtl w:val="0"/>
              </w:rPr>
              <w:t xml:space="preserve"> Ability to handle large data volumes and ingestion on tracing, datasets, and playground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e.g., </w:t>
            </w:r>
            <w:r w:rsidDel="00000000" w:rsidR="00000000" w:rsidRPr="00000000">
              <w:rPr>
                <w:i w:val="1"/>
                <w:iCs w:val="1"/>
                <w:color w:val="6b7280"/>
                <w:rtl w:val="0"/>
              </w:rPr>
              <w:t xml:space="preserve">50K datasets, 10M+ traces, executing 1K rows in playground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hyperlink r:id="rId23">
              <w:r w:rsidDel="00000000" w:rsidR="00000000" w:rsidRPr="00000000">
                <w:rPr>
                  <w:rFonts w:ascii="Inter" w:cs="Inter" w:eastAsia="Inter" w:hAnsi="Inter"/>
                  <w:i w:val="0"/>
                  <w:iCs w:val="0"/>
                  <w:color w:val="1155cc"/>
                  <w:sz w:val="20"/>
                  <w:szCs w:val="20"/>
                  <w:u w:val="single"/>
                  <w:rtl w:val="0"/>
                </w:rPr>
                <w:t xml:space="preserve">Security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Flexible deployment: Arize SaaS (GCP), VPC/Private Connect, or fully self-hosted — with CMEK encryption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e.g., VPC deployment confirmed; CMEK validated in DR paper exercise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hyperlink r:id="rId24">
              <w:r w:rsidDel="00000000" w:rsidR="00000000" w:rsidRPr="00000000">
                <w:rPr>
                  <w:rFonts w:ascii="Inter" w:cs="Inter" w:eastAsia="Inter" w:hAnsi="Inter"/>
                  <w:i w:val="0"/>
                  <w:iCs w:val="0"/>
                  <w:color w:val="1155cc"/>
                  <w:sz w:val="20"/>
                  <w:szCs w:val="20"/>
                  <w:u w:val="single"/>
                  <w:rtl w:val="0"/>
                </w:rPr>
                <w:t xml:space="preserve">Security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SOC 2 + HIPAA certified platform with audit logs, SSO/SAML, and API-driven management — production-ready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e.g., SSO configured; audit log access validated; compliance review 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hyperlink r:id="rId25">
              <w:r w:rsidDel="00000000" w:rsidR="00000000" w:rsidRPr="00000000">
                <w:rPr>
                  <w:rFonts w:ascii="Inter" w:cs="Inter" w:eastAsia="Inter" w:hAnsi="Inter"/>
                  <w:i w:val="0"/>
                  <w:iCs w:val="0"/>
                  <w:color w:val="1155cc"/>
                  <w:sz w:val="20"/>
                  <w:szCs w:val="20"/>
                  <w:u w:val="single"/>
                  <w:rtl w:val="0"/>
                </w:rPr>
                <w:t xml:space="preserve">Security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pBdr>
          <w:bottom w:color="6b46c1" w:space="0" w:sz="4" w:val="single"/>
        </w:pBdr>
        <w:spacing w:after="120" w:before="360" w:lineRule="auto"/>
        <w:rPr/>
      </w:pPr>
      <w:r w:rsidDel="00000000" w:rsidR="00000000" w:rsidRPr="00000000">
        <w:rPr>
          <w:color w:val="2f1ca0"/>
          <w:rtl w:val="0"/>
        </w:rPr>
        <w:t xml:space="preserve">5</w:t>
      </w:r>
      <w:r w:rsidDel="00000000" w:rsidR="00000000" w:rsidRPr="00000000">
        <w:rPr>
          <w:rFonts w:ascii="Inter" w:cs="Inter" w:eastAsia="Inter" w:hAnsi="Inter"/>
          <w:b w:val="1"/>
          <w:bCs w:val="1"/>
          <w:color w:val="2f1ca0"/>
          <w:sz w:val="28"/>
          <w:szCs w:val="28"/>
          <w:rtl w:val="0"/>
        </w:rPr>
        <w:t xml:space="preserve">.  Timeline &amp; Milestones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5"/>
        <w:gridCol w:w="2010"/>
        <w:gridCol w:w="3105"/>
        <w:gridCol w:w="2970"/>
        <w:tblGridChange w:id="0">
          <w:tblGrid>
            <w:gridCol w:w="1275"/>
            <w:gridCol w:w="2010"/>
            <w:gridCol w:w="3105"/>
            <w:gridCol w:w="29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Arize + </w:t>
            </w:r>
            <w:r w:rsidDel="00000000" w:rsidR="00000000" w:rsidRPr="00000000">
              <w:rPr>
                <w:color w:val="11111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PoC Scoping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Kickoff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color w:val="111111"/>
                <w:rtl w:val="0"/>
              </w:rPr>
              <w:t xml:space="preserve">Customer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 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Setup instrumentation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Tracing Setup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color w:val="11111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Evaluation Configuration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Evaluators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Alyx, Review Progress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Alyx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color w:val="11111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Monitoring, Alerting Setup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Monitors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color w:val="111111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Experimentation Walkthrough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Experiments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color w:val="111111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PoC Readout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color w:val="111111"/>
                <w:rtl w:val="0"/>
              </w:rPr>
              <w:t xml:space="preserve">Customer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 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Go/ No-Go Decision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Commercial Steps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</w:rPr>
            </w:pPr>
            <w:r w:rsidDel="00000000" w:rsidR="00000000" w:rsidRPr="00000000">
              <w:rPr>
                <w:color w:val="111111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Go-live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pStyle w:val="Heading1"/>
        <w:pBdr>
          <w:bottom w:color="6b46c1" w:space="0" w:sz="4" w:val="single"/>
        </w:pBdr>
        <w:spacing w:after="120" w:before="360" w:lineRule="auto"/>
        <w:rPr>
          <w:color w:val="2f1ca0"/>
        </w:rPr>
      </w:pPr>
      <w:r w:rsidDel="00000000" w:rsidR="00000000" w:rsidRPr="00000000">
        <w:rPr>
          <w:color w:val="2f1ca0"/>
          <w:rtl w:val="0"/>
        </w:rPr>
        <w:t xml:space="preserve">6</w:t>
      </w:r>
      <w:r w:rsidDel="00000000" w:rsidR="00000000" w:rsidRPr="00000000">
        <w:rPr>
          <w:rFonts w:ascii="Inter" w:cs="Inter" w:eastAsia="Inter" w:hAnsi="Inter"/>
          <w:b w:val="1"/>
          <w:bCs w:val="1"/>
          <w:color w:val="2f1ca0"/>
          <w:sz w:val="28"/>
          <w:szCs w:val="28"/>
          <w:rtl w:val="0"/>
        </w:rPr>
        <w:t xml:space="preserve">.  Trial Log &amp;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0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6b7280"/>
          <w:sz w:val="20"/>
          <w:szCs w:val="20"/>
          <w:rtl w:val="0"/>
        </w:rPr>
        <w:t xml:space="preserve">Use this section throughout the </w:t>
      </w:r>
      <w:r w:rsidDel="00000000" w:rsidR="00000000" w:rsidRPr="00000000">
        <w:rPr>
          <w:i w:val="1"/>
          <w:iCs w:val="1"/>
          <w:color w:val="6b7280"/>
          <w:rtl w:val="0"/>
        </w:rPr>
        <w:t xml:space="preserve">PoC</w:t>
      </w:r>
      <w:r w:rsidDel="00000000" w:rsidR="00000000" w:rsidRPr="00000000">
        <w:rPr>
          <w:rFonts w:ascii="Inter" w:cs="Inter" w:eastAsia="Inter" w:hAnsi="Inter"/>
          <w:i w:val="1"/>
          <w:iCs w:val="1"/>
          <w:color w:val="6b7280"/>
          <w:sz w:val="20"/>
          <w:szCs w:val="20"/>
          <w:rtl w:val="0"/>
        </w:rPr>
        <w:t xml:space="preserve"> to record meeting notes, blockers, and running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6760"/>
        <w:tblGridChange w:id="0">
          <w:tblGrid>
            <w:gridCol w:w="14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Notes / Action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sectPr>
      <w:headerReference r:id="rId31" w:type="default"/>
      <w:footerReference r:id="rId32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pBdr>
        <w:top w:color="d1d5db" w:space="0" w:sz="4" w:val="single"/>
      </w:pBdr>
      <w:tabs>
        <w:tab w:val="right" w:leader="none" w:pos="9360"/>
      </w:tabs>
      <w:spacing w:before="0" w:lineRule="auto"/>
      <w:rPr/>
    </w:pPr>
    <w:r w:rsidDel="00000000" w:rsidR="00000000" w:rsidRPr="00000000">
      <w:rPr>
        <w:rFonts w:ascii="Inter" w:cs="Inter" w:eastAsia="Inter" w:hAnsi="Inter"/>
        <w:color w:val="9ca3af"/>
        <w:sz w:val="16"/>
        <w:szCs w:val="16"/>
        <w:rtl w:val="0"/>
      </w:rPr>
      <w:t xml:space="preserve">Arize AI — Confidential  Page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pBdr>
        <w:bottom w:color="6b46c1" w:space="0" w:sz="4" w:val="single"/>
      </w:pBdr>
      <w:spacing w:after="0" w:lineRule="auto"/>
      <w:rPr>
        <w:color w:val="2f1ca0"/>
      </w:rPr>
    </w:pPr>
    <w:r w:rsidDel="00000000" w:rsidR="00000000" w:rsidRPr="00000000">
      <w:rPr>
        <w:rFonts w:ascii="Inter" w:cs="Inter" w:eastAsia="Inter" w:hAnsi="Inter"/>
        <w:color w:val="9ca3af"/>
        <w:sz w:val="18"/>
        <w:szCs w:val="18"/>
        <w:rtl w:val="0"/>
      </w:rPr>
      <w:t xml:space="preserve">Arize AX  ·  Proof of </w:t>
    </w:r>
    <w:r w:rsidDel="00000000" w:rsidR="00000000" w:rsidRPr="00000000">
      <w:rPr>
        <w:color w:val="9ca3af"/>
        <w:sz w:val="18"/>
        <w:szCs w:val="18"/>
        <w:rtl w:val="0"/>
      </w:rPr>
      <w:t xml:space="preserve">Concept</w:t>
    </w:r>
    <w:r w:rsidDel="00000000" w:rsidR="00000000" w:rsidRPr="00000000">
      <w:rPr>
        <w:rFonts w:ascii="Inter" w:cs="Inter" w:eastAsia="Inter" w:hAnsi="Inter"/>
        <w:color w:val="9ca3af"/>
        <w:sz w:val="18"/>
        <w:szCs w:val="18"/>
        <w:rtl w:val="0"/>
      </w:rPr>
      <w:t xml:space="preserve">  —  </w:t>
    </w:r>
    <w:r w:rsidDel="00000000" w:rsidR="00000000" w:rsidRPr="00000000">
      <w:rPr>
        <w:rFonts w:ascii="Inter" w:cs="Inter" w:eastAsia="Inter" w:hAnsi="Inter"/>
        <w:b w:val="1"/>
        <w:bCs w:val="1"/>
        <w:color w:val="6b46c1"/>
        <w:sz w:val="18"/>
        <w:szCs w:val="18"/>
        <w:rtl w:val="0"/>
      </w:rPr>
      <w:t xml:space="preserve">[</w:t>
    </w:r>
    <w:r w:rsidDel="00000000" w:rsidR="00000000" w:rsidRPr="00000000">
      <w:rPr>
        <w:rFonts w:ascii="Inter" w:cs="Inter" w:eastAsia="Inter" w:hAnsi="Inter"/>
        <w:b w:val="1"/>
        <w:bCs w:val="1"/>
        <w:color w:val="2f1ca0"/>
        <w:sz w:val="18"/>
        <w:szCs w:val="18"/>
        <w:rtl w:val="0"/>
      </w:rPr>
      <w:t xml:space="preserve">Company Name]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Inter" w:cs="Inter" w:eastAsia="Inter" w:hAnsi="Inter"/>
      <w:b w:val="1"/>
      <w:bCs w:val="1"/>
      <w:i w:val="0"/>
      <w:iCs w:val="0"/>
      <w:smallCaps w:val="0"/>
      <w:strike w:val="0"/>
      <w:color w:val="6b46c1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Inter" w:cs="Inter" w:eastAsia="Inter" w:hAnsi="Inter"/>
      <w:b w:val="1"/>
      <w:bCs w:val="1"/>
      <w:i w:val="0"/>
      <w:iCs w:val="0"/>
      <w:smallCaps w:val="0"/>
      <w:strike w:val="0"/>
      <w:color w:val="3b5bdb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rize.com/docs/ax/machine-learning/machine-learning/how-to-ml/data-quality-troubleshooting" TargetMode="External"/><Relationship Id="rId22" Type="http://schemas.openxmlformats.org/officeDocument/2006/relationships/hyperlink" Target="https://arize.com/docs/ax/machine-learning/machine-learning/how-to-ml/custom-metrics-api" TargetMode="External"/><Relationship Id="rId21" Type="http://schemas.openxmlformats.org/officeDocument/2006/relationships/hyperlink" Target="https://arize.com/docs/ax/machine-learning/machine-learning/how-to-ml/data-quality-troubleshooting" TargetMode="External"/><Relationship Id="rId24" Type="http://schemas.openxmlformats.org/officeDocument/2006/relationships/hyperlink" Target="https://arize.com/docs/ax/selfhosting/architecture" TargetMode="External"/><Relationship Id="rId23" Type="http://schemas.openxmlformats.org/officeDocument/2006/relationships/hyperlink" Target="https://arize.com/docs/ax/security-and-settings/sso-and-rba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ize.com/docs/ax/evaluate/evaluators" TargetMode="External"/><Relationship Id="rId26" Type="http://schemas.openxmlformats.org/officeDocument/2006/relationships/hyperlink" Target="https://arize.com/docs/ax/agents/tracing-assistant" TargetMode="External"/><Relationship Id="rId25" Type="http://schemas.openxmlformats.org/officeDocument/2006/relationships/hyperlink" Target="https://arize.com/docs/ax/security-and-settings/compliance" TargetMode="External"/><Relationship Id="rId28" Type="http://schemas.openxmlformats.org/officeDocument/2006/relationships/hyperlink" Target="https://arize.com/docs/ax/alyx/meet-alyx" TargetMode="External"/><Relationship Id="rId27" Type="http://schemas.openxmlformats.org/officeDocument/2006/relationships/hyperlink" Target="https://arize.com/docs/ax/evaluate/evaluator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s://arize.com/docs/ax/observe/production-monitoring" TargetMode="External"/><Relationship Id="rId7" Type="http://schemas.openxmlformats.org/officeDocument/2006/relationships/hyperlink" Target="https://arize.com/docs/ax/observe/tracing/setup" TargetMode="External"/><Relationship Id="rId8" Type="http://schemas.openxmlformats.org/officeDocument/2006/relationships/hyperlink" Target="https://arize.com/docs/ax/evaluate/evaluators/trace-and-session-evals/session-level-evaluations" TargetMode="External"/><Relationship Id="rId31" Type="http://schemas.openxmlformats.org/officeDocument/2006/relationships/header" Target="header1.xml"/><Relationship Id="rId30" Type="http://schemas.openxmlformats.org/officeDocument/2006/relationships/hyperlink" Target="https://arize.com/docs/ax/develop/datasets-and-experiments" TargetMode="External"/><Relationship Id="rId11" Type="http://schemas.openxmlformats.org/officeDocument/2006/relationships/hyperlink" Target="https://arize.com/docs/ax/prompts/prompt-playground" TargetMode="External"/><Relationship Id="rId10" Type="http://schemas.openxmlformats.org/officeDocument/2006/relationships/hyperlink" Target="https://arize.com/docs/ax/alyx/meet-alyx" TargetMode="External"/><Relationship Id="rId32" Type="http://schemas.openxmlformats.org/officeDocument/2006/relationships/footer" Target="footer1.xml"/><Relationship Id="rId13" Type="http://schemas.openxmlformats.org/officeDocument/2006/relationships/hyperlink" Target="https://arize.com/docs/ax/observe/dashboards" TargetMode="External"/><Relationship Id="rId12" Type="http://schemas.openxmlformats.org/officeDocument/2006/relationships/hyperlink" Target="https://arize.com/docs/ax/develop/datasets/how-to-datasets" TargetMode="External"/><Relationship Id="rId15" Type="http://schemas.openxmlformats.org/officeDocument/2006/relationships/hyperlink" Target="https://arize.com/docs/ax/agents/arize-skills" TargetMode="External"/><Relationship Id="rId14" Type="http://schemas.openxmlformats.org/officeDocument/2006/relationships/hyperlink" Target="https://arize.com/docs/ax/observe/production-monitoring" TargetMode="External"/><Relationship Id="rId17" Type="http://schemas.openxmlformats.org/officeDocument/2006/relationships/hyperlink" Target="https://arize.com/docs/ax/machine-learning/machine-learning/what-is-ml-observability" TargetMode="External"/><Relationship Id="rId16" Type="http://schemas.openxmlformats.org/officeDocument/2006/relationships/hyperlink" Target="https://arize.com/docs/ax/machine-learning/machine-learning/what-is-ml-observability" TargetMode="External"/><Relationship Id="rId19" Type="http://schemas.openxmlformats.org/officeDocument/2006/relationships/hyperlink" Target="https://arize.com/docs/ax/machine-learning/machine-learning/how-to-ml/drift-tracing" TargetMode="External"/><Relationship Id="rId18" Type="http://schemas.openxmlformats.org/officeDocument/2006/relationships/hyperlink" Target="https://arize.com/docs/ax/machine-learning/machine-learning/how-to-ml/drift-trac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