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285AB">
      <w:pPr>
        <w:spacing w:after="156" w:afterLines="50"/>
        <w:jc w:val="center"/>
        <w:rPr>
          <w:rFonts w:hint="eastAsia" w:ascii="Arial" w:hAnsi="Arial" w:cs="Arial"/>
          <w:b/>
          <w:bCs/>
          <w:sz w:val="28"/>
          <w:szCs w:val="36"/>
        </w:rPr>
      </w:pPr>
      <w:r>
        <w:rPr>
          <w:rFonts w:ascii="Arial" w:hAnsi="Arial" w:cs="Arial"/>
          <w:b/>
          <w:bCs/>
          <w:sz w:val="28"/>
          <w:szCs w:val="36"/>
        </w:rPr>
        <w:t>PROJECT OVERVIEW STATEMENT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00"/>
        <w:gridCol w:w="1334"/>
        <w:gridCol w:w="1450"/>
        <w:gridCol w:w="1812"/>
      </w:tblGrid>
      <w:tr w14:paraId="24DA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00" w:type="dxa"/>
          </w:tcPr>
          <w:p w14:paraId="09FA7580">
            <w:pPr>
              <w:rPr>
                <w:rFonts w:ascii="Arial" w:hAnsi="Arial" w:cs="Arial"/>
              </w:rPr>
            </w:pPr>
            <w:r>
              <w:rPr>
                <w:rFonts w:ascii="Arial" w:hAnsi="Arial" w:cs="Arial"/>
              </w:rPr>
              <w:t>Project Name</w:t>
            </w:r>
          </w:p>
        </w:tc>
        <w:tc>
          <w:tcPr>
            <w:tcW w:w="4596" w:type="dxa"/>
            <w:gridSpan w:val="3"/>
          </w:tcPr>
          <w:p w14:paraId="0DC1A991">
            <w:pPr>
              <w:rPr>
                <w:rFonts w:ascii="Arial" w:hAnsi="Arial" w:cs="Arial"/>
              </w:rPr>
            </w:pPr>
            <w:r>
              <w:rPr>
                <w:rFonts w:hint="default" w:ascii="Times New Roman" w:hAnsi="Times New Roman" w:cs="Times New Roman"/>
              </w:rPr>
              <w:t>LexAI: an Intell</w:t>
            </w:r>
            <w:bookmarkStart w:id="0" w:name="_GoBack"/>
            <w:bookmarkEnd w:id="0"/>
            <w:r>
              <w:rPr>
                <w:rFonts w:hint="default" w:ascii="Times New Roman" w:hAnsi="Times New Roman" w:cs="Times New Roman"/>
              </w:rPr>
              <w:t>igent Legal Assistance System</w:t>
            </w:r>
          </w:p>
        </w:tc>
      </w:tr>
      <w:tr w14:paraId="1DEA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1" w:hRule="atLeast"/>
        </w:trPr>
        <w:tc>
          <w:tcPr>
            <w:tcW w:w="8296" w:type="dxa"/>
            <w:gridSpan w:val="4"/>
          </w:tcPr>
          <w:p w14:paraId="2C9B5FA0">
            <w:pPr>
              <w:rPr>
                <w:rFonts w:ascii="Arial" w:hAnsi="Arial" w:cs="Arial"/>
              </w:rPr>
            </w:pPr>
            <w:r>
              <w:rPr>
                <w:rFonts w:ascii="Arial" w:hAnsi="Arial" w:cs="Arial"/>
              </w:rPr>
              <w:t>Problem/Opportunity</w:t>
            </w:r>
          </w:p>
          <w:p w14:paraId="688BB82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Arial" w:hAnsi="Arial" w:cs="Arial"/>
              </w:rPr>
            </w:pPr>
            <w:r>
              <w:rPr>
                <w:rFonts w:hint="default" w:ascii="Times New Roman" w:hAnsi="Times New Roman" w:cs="Times New Roman"/>
              </w:rPr>
              <w:t>As China continues to deepen its commitment to the rule of law, the public demand for high quality legal services has grown substantially. However, the current landscape faces significant challenges, including an uneven distribution of legal service resources, high costs for professional consultation, and an increasing volume of complex cases. Traditional legal service models are often limited in efficiency and accessibility, particularly regarding grassroots legal support. Simultaneously, the rapid advancement of artificial intelligence and large language models (LLMs) presents a transformative opportunity for "LegalTech". AI has demonstrated clear advantages in legal text comprehension, case analysis, and automated document generation, offering a technical foundation to overcome existing human resource constraints and reduce the risk of manual error.</w:t>
            </w:r>
          </w:p>
        </w:tc>
      </w:tr>
      <w:tr w14:paraId="7E8D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1" w:hRule="atLeast"/>
        </w:trPr>
        <w:tc>
          <w:tcPr>
            <w:tcW w:w="8296" w:type="dxa"/>
            <w:gridSpan w:val="4"/>
          </w:tcPr>
          <w:p w14:paraId="13794529">
            <w:pPr>
              <w:keepNext w:val="0"/>
              <w:keepLines w:val="0"/>
              <w:pageBreakBefore w:val="0"/>
              <w:widowControl w:val="0"/>
              <w:kinsoku/>
              <w:wordWrap/>
              <w:overflowPunct/>
              <w:topLinePunct w:val="0"/>
              <w:autoSpaceDE/>
              <w:autoSpaceDN/>
              <w:bidi w:val="0"/>
              <w:adjustRightInd/>
              <w:snapToGrid/>
              <w:textAlignment w:val="auto"/>
              <w:rPr>
                <w:rFonts w:ascii="Arial" w:hAnsi="Arial" w:cs="Arial"/>
              </w:rPr>
            </w:pPr>
            <w:r>
              <w:rPr>
                <w:rFonts w:ascii="Arial" w:hAnsi="Arial" w:cs="Arial"/>
              </w:rPr>
              <w:t>Goal</w:t>
            </w:r>
          </w:p>
          <w:p w14:paraId="7D6244E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Arial" w:hAnsi="Arial" w:cs="Arial"/>
              </w:rPr>
            </w:pPr>
            <w:r>
              <w:rPr>
                <w:rFonts w:hint="default" w:ascii="Times New Roman" w:hAnsi="Times New Roman" w:cs="Times New Roman"/>
              </w:rPr>
              <w:t>The fundamental goal of this project is to promote the innovative application of artificial intelligence within the legal sector to enhance service accessibility and efficiency. By lowering the barriers to professional legal support, LexAI seeks to provide users with legally referential advice and automated tools that save significant time and costs in handling legal matters. Ultimately, the project intends to provide a new, reliable solution for the development of a smart legal ecosystem.</w:t>
            </w:r>
          </w:p>
        </w:tc>
      </w:tr>
      <w:tr w14:paraId="40D8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2" w:hRule="atLeast"/>
        </w:trPr>
        <w:tc>
          <w:tcPr>
            <w:tcW w:w="8296" w:type="dxa"/>
            <w:gridSpan w:val="4"/>
          </w:tcPr>
          <w:p w14:paraId="7A914705">
            <w:pPr>
              <w:rPr>
                <w:rFonts w:ascii="Arial" w:hAnsi="Arial" w:cs="Arial"/>
              </w:rPr>
            </w:pPr>
            <w:r>
              <w:rPr>
                <w:rFonts w:ascii="Arial" w:hAnsi="Arial" w:cs="Arial"/>
              </w:rPr>
              <w:t>Objectives</w:t>
            </w:r>
          </w:p>
          <w:p w14:paraId="29DCFDB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Arial" w:hAnsi="Arial" w:cs="Arial"/>
              </w:rPr>
            </w:pPr>
            <w:r>
              <w:rPr>
                <w:rFonts w:hint="default" w:ascii="Times New Roman" w:hAnsi="Times New Roman" w:cs="Times New Roman"/>
              </w:rPr>
              <w:t>The primary objective is to integrate advanced large language model (LLM) capabilities with specialized agent tools to build a secure legal service platform. The development team will implement four core functional modules: a legal Q&amp;A module for consultation, a document generation module for automated drafting, a case analysis module for similarity retrieval, and a contract review module for risk identification. Throughout the project lifecycle, continuous testing and optimization will be prioritized to ensure the professionalism and reliability of all generated content. This iterative process is essential to maintaining high standards of legal logic and addressing the specific requirements of government and enterprise-level applications.</w:t>
            </w:r>
          </w:p>
        </w:tc>
      </w:tr>
      <w:tr w14:paraId="0F5A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5" w:hRule="atLeast"/>
        </w:trPr>
        <w:tc>
          <w:tcPr>
            <w:tcW w:w="8296" w:type="dxa"/>
            <w:gridSpan w:val="4"/>
          </w:tcPr>
          <w:p w14:paraId="5B8D040E">
            <w:pPr>
              <w:keepNext w:val="0"/>
              <w:keepLines w:val="0"/>
              <w:pageBreakBefore w:val="0"/>
              <w:widowControl w:val="0"/>
              <w:kinsoku/>
              <w:wordWrap/>
              <w:overflowPunct/>
              <w:topLinePunct w:val="0"/>
              <w:autoSpaceDE/>
              <w:autoSpaceDN/>
              <w:bidi w:val="0"/>
              <w:adjustRightInd/>
              <w:snapToGrid/>
              <w:textAlignment w:val="auto"/>
              <w:rPr>
                <w:rFonts w:ascii="Arial" w:hAnsi="Arial" w:cs="Arial"/>
              </w:rPr>
            </w:pPr>
            <w:r>
              <w:rPr>
                <w:rFonts w:ascii="Arial" w:hAnsi="Arial" w:cs="Arial"/>
              </w:rPr>
              <w:t>Success Criteria</w:t>
            </w:r>
          </w:p>
          <w:p w14:paraId="1CC225E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Arial" w:hAnsi="Arial" w:cs="Arial"/>
              </w:rPr>
            </w:pPr>
            <w:r>
              <w:rPr>
                <w:rFonts w:hint="default" w:ascii="Times New Roman" w:hAnsi="Times New Roman" w:cs="Times New Roman"/>
              </w:rPr>
              <w:t>The success of LexAI will be measured by its ability to deliver accurate, professional, and diverse legal outputs that streamline traditional workflows. Key performance indicators include the accuracy of the AI’s legal reasoning, the professional quality of automatically generated documents, and the system's effectiveness in identifying risks within contract clauses. Furthermore, the system must demonstrate high availability and stability under operational loads, effectively reducing the time and economic burden on users while significantly improving the overall productivity of legal services.</w:t>
            </w:r>
          </w:p>
        </w:tc>
      </w:tr>
      <w:tr w14:paraId="53A8A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4" w:hRule="atLeast"/>
        </w:trPr>
        <w:tc>
          <w:tcPr>
            <w:tcW w:w="8296" w:type="dxa"/>
            <w:gridSpan w:val="4"/>
          </w:tcPr>
          <w:p w14:paraId="067F3963">
            <w:pPr>
              <w:rPr>
                <w:rFonts w:ascii="Arial" w:hAnsi="Arial" w:cs="Arial"/>
              </w:rPr>
            </w:pPr>
            <w:r>
              <w:rPr>
                <w:rFonts w:ascii="Arial" w:hAnsi="Arial" w:cs="Arial"/>
              </w:rPr>
              <w:t>Assumptions, Risks, Obstacles</w:t>
            </w:r>
          </w:p>
          <w:p w14:paraId="4158FAAC">
            <w:pPr>
              <w:keepNext w:val="0"/>
              <w:keepLines w:val="0"/>
              <w:pageBreakBefore w:val="0"/>
              <w:widowControl w:val="0"/>
              <w:kinsoku/>
              <w:wordWrap/>
              <w:overflowPunct/>
              <w:topLinePunct w:val="0"/>
              <w:autoSpaceDE/>
              <w:autoSpaceDN/>
              <w:bidi w:val="0"/>
              <w:adjustRightInd/>
              <w:snapToGrid/>
              <w:spacing w:line="240" w:lineRule="exact"/>
              <w:textAlignment w:val="auto"/>
              <w:rPr>
                <w:rFonts w:ascii="Arial" w:hAnsi="Arial" w:cs="Arial"/>
              </w:rPr>
            </w:pPr>
            <w:r>
              <w:rPr>
                <w:rFonts w:hint="default" w:ascii="Times New Roman" w:hAnsi="Times New Roman" w:cs="Times New Roman"/>
              </w:rPr>
              <w:t>The project operates under the assumption that AI can be successfully trained to handle the high degree of professional rigor required in the legal field. However, significant risks include the potential for unpredictable AI outputs—often referred to as "hallucinations"—and the high computational demands required for processing complex legal data. Additionally, data privacy remains a paramount concern, as the system must handle sensitive legal information with absolute security. The project must also navigate the challenge of ensuring that the AI’s knowledge base remains current with evolving laws and regulations, while addressing the inherent costs and technical complexities of maintaining an enterprise-grade AI platform.</w:t>
            </w:r>
          </w:p>
        </w:tc>
      </w:tr>
      <w:tr w14:paraId="51FF1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0" w:type="dxa"/>
          </w:tcPr>
          <w:p w14:paraId="3250BBBB">
            <w:pPr>
              <w:rPr>
                <w:rFonts w:ascii="Arial" w:hAnsi="Arial" w:cs="Arial"/>
              </w:rPr>
            </w:pPr>
            <w:r>
              <w:rPr>
                <w:rFonts w:hint="eastAsia" w:ascii="Arial" w:hAnsi="Arial" w:cs="Arial"/>
              </w:rPr>
              <w:t>P</w:t>
            </w:r>
            <w:r>
              <w:rPr>
                <w:rFonts w:ascii="Arial" w:hAnsi="Arial" w:cs="Arial"/>
              </w:rPr>
              <w:t>repared By</w:t>
            </w:r>
          </w:p>
        </w:tc>
        <w:tc>
          <w:tcPr>
            <w:tcW w:w="1334" w:type="dxa"/>
          </w:tcPr>
          <w:p w14:paraId="576F2196">
            <w:pPr>
              <w:rPr>
                <w:rFonts w:ascii="Arial" w:hAnsi="Arial" w:cs="Arial"/>
              </w:rPr>
            </w:pPr>
            <w:r>
              <w:rPr>
                <w:rFonts w:hint="eastAsia" w:ascii="Arial" w:hAnsi="Arial" w:cs="Arial"/>
              </w:rPr>
              <w:t>D</w:t>
            </w:r>
            <w:r>
              <w:rPr>
                <w:rFonts w:ascii="Arial" w:hAnsi="Arial" w:cs="Arial"/>
              </w:rPr>
              <w:t>ate</w:t>
            </w:r>
          </w:p>
        </w:tc>
        <w:tc>
          <w:tcPr>
            <w:tcW w:w="1450" w:type="dxa"/>
          </w:tcPr>
          <w:p w14:paraId="3383BAA8">
            <w:pPr>
              <w:rPr>
                <w:rFonts w:ascii="Arial" w:hAnsi="Arial" w:cs="Arial"/>
              </w:rPr>
            </w:pPr>
            <w:r>
              <w:rPr>
                <w:rFonts w:hint="eastAsia" w:ascii="Arial" w:hAnsi="Arial" w:cs="Arial"/>
              </w:rPr>
              <w:t>A</w:t>
            </w:r>
            <w:r>
              <w:rPr>
                <w:rFonts w:ascii="Arial" w:hAnsi="Arial" w:cs="Arial"/>
              </w:rPr>
              <w:t>pproved By</w:t>
            </w:r>
          </w:p>
        </w:tc>
        <w:tc>
          <w:tcPr>
            <w:tcW w:w="1812" w:type="dxa"/>
          </w:tcPr>
          <w:p w14:paraId="4214A270">
            <w:pPr>
              <w:rPr>
                <w:rFonts w:ascii="Arial" w:hAnsi="Arial" w:cs="Arial"/>
              </w:rPr>
            </w:pPr>
            <w:r>
              <w:rPr>
                <w:rFonts w:hint="eastAsia" w:ascii="Arial" w:hAnsi="Arial" w:cs="Arial"/>
              </w:rPr>
              <w:t>D</w:t>
            </w:r>
            <w:r>
              <w:rPr>
                <w:rFonts w:ascii="Arial" w:hAnsi="Arial" w:cs="Arial"/>
              </w:rPr>
              <w:t>ate</w:t>
            </w:r>
          </w:p>
        </w:tc>
      </w:tr>
      <w:tr w14:paraId="3E36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0" w:type="dxa"/>
          </w:tcPr>
          <w:p w14:paraId="1CD69E6B">
            <w:pPr>
              <w:rPr>
                <w:rFonts w:hint="default" w:ascii="Arial" w:hAnsi="Arial" w:cs="Arial" w:eastAsiaTheme="minorEastAsia"/>
                <w:lang w:val="en-US" w:eastAsia="zh-CN"/>
              </w:rPr>
            </w:pPr>
            <w:r>
              <w:rPr>
                <w:rFonts w:hint="eastAsia" w:ascii="Times New Roman" w:hAnsi="Times New Roman" w:cs="Times New Roman"/>
                <w:lang w:val="en-US" w:eastAsia="zh-CN"/>
              </w:rPr>
              <w:t>Xiangyu Xiao,Qi Lin,Baoyi Hu,Sirui Da</w:t>
            </w:r>
          </w:p>
        </w:tc>
        <w:tc>
          <w:tcPr>
            <w:tcW w:w="1334" w:type="dxa"/>
          </w:tcPr>
          <w:p w14:paraId="1C64CAF8">
            <w:pPr>
              <w:rPr>
                <w:rFonts w:hint="default" w:ascii="Arial" w:hAnsi="Arial" w:cs="Arial" w:eastAsiaTheme="minorEastAsia"/>
                <w:lang w:val="en-US" w:eastAsia="zh-CN"/>
              </w:rPr>
            </w:pPr>
            <w:r>
              <w:rPr>
                <w:rFonts w:hint="eastAsia" w:ascii="Times New Roman" w:hAnsi="Times New Roman" w:cs="Times New Roman"/>
                <w:lang w:val="en-US" w:eastAsia="zh-CN"/>
              </w:rPr>
              <w:t>2026/03/17</w:t>
            </w:r>
          </w:p>
        </w:tc>
        <w:tc>
          <w:tcPr>
            <w:tcW w:w="1450" w:type="dxa"/>
          </w:tcPr>
          <w:p w14:paraId="32D7320F">
            <w:pPr>
              <w:rPr>
                <w:rFonts w:ascii="Arial" w:hAnsi="Arial" w:cs="Arial"/>
              </w:rPr>
            </w:pPr>
            <w:r>
              <w:rPr>
                <w:rFonts w:hint="eastAsia" w:ascii="Times New Roman" w:hAnsi="Times New Roman" w:cs="Times New Roman"/>
                <w:lang w:val="en-US" w:eastAsia="zh-CN"/>
              </w:rPr>
              <w:t>Xiangyu Xiao</w:t>
            </w:r>
          </w:p>
        </w:tc>
        <w:tc>
          <w:tcPr>
            <w:tcW w:w="1812" w:type="dxa"/>
          </w:tcPr>
          <w:p w14:paraId="53A296B0">
            <w:pPr>
              <w:rPr>
                <w:rFonts w:hint="default" w:ascii="Arial" w:hAnsi="Arial" w:cs="Arial" w:eastAsiaTheme="minorEastAsia"/>
                <w:lang w:val="en-US" w:eastAsia="zh-CN"/>
              </w:rPr>
            </w:pPr>
            <w:r>
              <w:rPr>
                <w:rFonts w:hint="eastAsia" w:ascii="Times New Roman" w:hAnsi="Times New Roman" w:cs="Times New Roman"/>
                <w:lang w:val="en-US" w:eastAsia="zh-CN"/>
              </w:rPr>
              <w:t>2026/3/18</w:t>
            </w:r>
          </w:p>
        </w:tc>
      </w:tr>
    </w:tbl>
    <w:p w14:paraId="0DEB7C8E">
      <w:pPr>
        <w:rPr>
          <w:rFonts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0BF"/>
    <w:rsid w:val="00544FBD"/>
    <w:rsid w:val="005E36BF"/>
    <w:rsid w:val="00634B36"/>
    <w:rsid w:val="009F17F7"/>
    <w:rsid w:val="00C560BF"/>
    <w:rsid w:val="00C56743"/>
    <w:rsid w:val="00C6176D"/>
    <w:rsid w:val="00EB56EA"/>
    <w:rsid w:val="18070DE2"/>
    <w:rsid w:val="60B31623"/>
    <w:rsid w:val="79F53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508</Words>
  <Characters>3200</Characters>
  <Lines>1</Lines>
  <Paragraphs>1</Paragraphs>
  <TotalTime>14</TotalTime>
  <ScaleCrop>false</ScaleCrop>
  <LinksUpToDate>false</LinksUpToDate>
  <CharactersWithSpaces>3685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2025-03-09T14:49:00Z</dcterms:created>
  <dc:creator>博闻 杜</dc:creator>
  <cp:lastModifiedBy>肖因斯坦·尔摩斯</cp:lastModifiedBy>
  <dcterms:modified xsi:type="dcterms:W3CDTF">2026-03-20T05:41:01Z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eyJoZGlkIjoiNmUzN2YyN2QyYTJjZTA1ZDU3MjRmODRiMThhNWRlZGEiLCJ1c2VySWQiOiI5MjczODk4NTUifQ==</vt:lpwstr>
  </property>
  <property fmtid="{D5CDD505-2E9C-101B-9397-08002B2CF9AE}" pid="3" name="KSOProductBuildVer">
    <vt:lpwstr>2052-12.1.0.24657</vt:lpwstr>
  </property>
  <property fmtid="{D5CDD505-2E9C-101B-9397-08002B2CF9AE}" pid="4" name="ICV">
    <vt:lpwstr>24FF43235DD245F9B72404DB70794EFC_12</vt:lpwstr>
  </property>
</Properties>
</file>