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DCC" w:rsidRPr="009D5DCC" w:rsidRDefault="009D5DCC" w:rsidP="009D5DCC">
      <w:pPr>
        <w:shd w:val="clear" w:color="auto" w:fill="FFFFFF"/>
        <w:spacing w:after="225" w:line="240" w:lineRule="auto"/>
        <w:jc w:val="both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494948"/>
          <w:lang w:eastAsia="ru-RU"/>
        </w:rPr>
        <w:t>Целями проведения производственной практики (научно-исследовательской работы) являются:</w:t>
      </w:r>
    </w:p>
    <w:p w:rsidR="009D5DCC" w:rsidRPr="009D5DCC" w:rsidRDefault="009D5DCC" w:rsidP="009D5D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lang w:eastAsia="ru-RU"/>
        </w:rPr>
        <w:t>закрепление теоретических знаний по общепрофессиональным и профильным дисциплинам;</w:t>
      </w:r>
    </w:p>
    <w:p w:rsidR="009D5DCC" w:rsidRPr="009D5DCC" w:rsidRDefault="009D5DCC" w:rsidP="009D5D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lang w:eastAsia="ru-RU"/>
        </w:rPr>
        <w:t>формирование и развитие универсальных, общепрофессиональных и профессиональных компетенций, обучающихся по выбранному направлению и направленности (профилю) подготовки.</w:t>
      </w:r>
    </w:p>
    <w:p w:rsidR="009D5DCC" w:rsidRPr="009D5DCC" w:rsidRDefault="009D5DCC" w:rsidP="009D5DCC">
      <w:pPr>
        <w:shd w:val="clear" w:color="auto" w:fill="FFFFFF"/>
        <w:spacing w:after="225" w:line="240" w:lineRule="auto"/>
        <w:jc w:val="both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494948"/>
          <w:lang w:eastAsia="ru-RU"/>
        </w:rPr>
        <w:t>Задачи практики –</w:t>
      </w:r>
    </w:p>
    <w:p w:rsidR="009D5DCC" w:rsidRPr="009D5DCC" w:rsidRDefault="009D5DCC" w:rsidP="009D5D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lang w:eastAsia="ru-RU"/>
        </w:rPr>
        <w:t>Систематизация и углубление теоретических знаний и практических навыков в области применения средств информационных систем;</w:t>
      </w:r>
    </w:p>
    <w:p w:rsidR="009D5DCC" w:rsidRPr="009D5DCC" w:rsidRDefault="009D5DCC" w:rsidP="009D5D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lang w:eastAsia="ru-RU"/>
        </w:rPr>
        <w:t>Изучение методов разработки программного обеспечения;</w:t>
      </w:r>
    </w:p>
    <w:p w:rsidR="009D5DCC" w:rsidRPr="009D5DCC" w:rsidRDefault="009D5DCC" w:rsidP="009D5D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lang w:eastAsia="ru-RU"/>
        </w:rPr>
        <w:t>Овладение методикой решения задач, связанных с использованием средств вычислительной техники, сбор материалов для отчета по практике и написания выпускной квалификационной работы.</w:t>
      </w:r>
    </w:p>
    <w:p w:rsidR="009D5DCC" w:rsidRPr="009D5DCC" w:rsidRDefault="009D5DCC" w:rsidP="009D5DCC">
      <w:pPr>
        <w:shd w:val="clear" w:color="auto" w:fill="FFFFFF"/>
        <w:spacing w:after="225" w:line="240" w:lineRule="auto"/>
        <w:jc w:val="both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494948"/>
          <w:lang w:eastAsia="ru-RU"/>
        </w:rPr>
        <w:t> </w:t>
      </w:r>
    </w:p>
    <w:p w:rsidR="009D5DCC" w:rsidRPr="009D5DCC" w:rsidRDefault="009D5DCC" w:rsidP="009D5DCC">
      <w:pPr>
        <w:shd w:val="clear" w:color="auto" w:fill="FFFFFF"/>
        <w:spacing w:after="225" w:line="240" w:lineRule="auto"/>
        <w:jc w:val="both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494948"/>
          <w:lang w:eastAsia="ru-RU"/>
        </w:rPr>
        <w:t xml:space="preserve">Общая трудоемкость практики составляет 9 зачетных единиц, 324 </w:t>
      </w:r>
      <w:proofErr w:type="spellStart"/>
      <w:r w:rsidRPr="009D5DCC">
        <w:rPr>
          <w:rFonts w:ascii="Tahoma" w:eastAsia="Times New Roman" w:hAnsi="Tahoma" w:cs="Tahoma"/>
          <w:color w:val="494948"/>
          <w:lang w:eastAsia="ru-RU"/>
        </w:rPr>
        <w:t>ак</w:t>
      </w:r>
      <w:proofErr w:type="spellEnd"/>
      <w:r w:rsidRPr="009D5DCC">
        <w:rPr>
          <w:rFonts w:ascii="Tahoma" w:eastAsia="Times New Roman" w:hAnsi="Tahoma" w:cs="Tahoma"/>
          <w:color w:val="494948"/>
          <w:lang w:eastAsia="ru-RU"/>
        </w:rPr>
        <w:t>. часов, 6 недель:</w:t>
      </w:r>
    </w:p>
    <w:tbl>
      <w:tblPr>
        <w:tblW w:w="0" w:type="dxa"/>
        <w:tblBorders>
          <w:top w:val="single" w:sz="6" w:space="0" w:color="E1E1E1"/>
          <w:left w:val="single" w:sz="12" w:space="0" w:color="FFFFFF"/>
          <w:bottom w:val="single" w:sz="6" w:space="0" w:color="E1E1E1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4545"/>
        <w:gridCol w:w="3375"/>
      </w:tblGrid>
      <w:tr w:rsidR="009D5DCC" w:rsidRPr="009D5DCC" w:rsidTr="009D5DCC">
        <w:tc>
          <w:tcPr>
            <w:tcW w:w="600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b/>
                <w:bCs/>
                <w:color w:val="494948"/>
                <w:sz w:val="24"/>
                <w:szCs w:val="24"/>
                <w:lang w:eastAsia="ru-RU"/>
              </w:rPr>
              <w:t>№</w:t>
            </w:r>
          </w:p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b/>
                <w:bCs/>
                <w:color w:val="494948"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454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b/>
                <w:bCs/>
                <w:color w:val="494948"/>
                <w:sz w:val="24"/>
                <w:szCs w:val="24"/>
                <w:lang w:eastAsia="ru-RU"/>
              </w:rPr>
              <w:t>Раздел (этап) практики</w:t>
            </w:r>
          </w:p>
        </w:tc>
        <w:tc>
          <w:tcPr>
            <w:tcW w:w="337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b/>
                <w:bCs/>
                <w:color w:val="494948"/>
                <w:sz w:val="24"/>
                <w:szCs w:val="24"/>
                <w:lang w:eastAsia="ru-RU"/>
              </w:rPr>
              <w:t>Недели</w:t>
            </w:r>
          </w:p>
        </w:tc>
      </w:tr>
      <w:tr w:rsidR="009D5DCC" w:rsidRPr="009D5DCC" w:rsidTr="009D5DCC">
        <w:tc>
          <w:tcPr>
            <w:tcW w:w="600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4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Организационный этап</w:t>
            </w:r>
            <w:r w:rsidRPr="009D5DCC"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  <w:t> (</w:t>
            </w: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УК-6.1 – УК-6.2)</w:t>
            </w:r>
          </w:p>
        </w:tc>
        <w:tc>
          <w:tcPr>
            <w:tcW w:w="337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Первая неделя (первый день)</w:t>
            </w:r>
          </w:p>
        </w:tc>
      </w:tr>
      <w:tr w:rsidR="009D5DCC" w:rsidRPr="009D5DCC" w:rsidTr="009D5DCC">
        <w:tc>
          <w:tcPr>
            <w:tcW w:w="600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4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Основной этап (УК-6.1 – УК-6.3; ОПК-1.1 – ОПК-1.2; ОПК-3.1 – ОПК-3.2; ОПК-4.1 – ОПК-4.2; ОПК-6.1 – ОПК-6.2; ОПК-7.1 – ОПК-7.2; ПК-2.1 – ПК-2.3)</w:t>
            </w:r>
          </w:p>
        </w:tc>
        <w:tc>
          <w:tcPr>
            <w:tcW w:w="337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Первая - пятая неделя</w:t>
            </w:r>
          </w:p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 </w:t>
            </w:r>
          </w:p>
        </w:tc>
      </w:tr>
      <w:tr w:rsidR="009D5DCC" w:rsidRPr="009D5DCC" w:rsidTr="009D5DCC">
        <w:tc>
          <w:tcPr>
            <w:tcW w:w="600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Заключительный этап (УК-6.1 – УК-6.2;</w:t>
            </w:r>
          </w:p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ОПК-3.1 – ОПК-3.2)</w:t>
            </w:r>
          </w:p>
        </w:tc>
        <w:tc>
          <w:tcPr>
            <w:tcW w:w="337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Шестая неделя</w:t>
            </w:r>
          </w:p>
          <w:p w:rsidR="009D5DCC" w:rsidRPr="009D5DCC" w:rsidRDefault="009D5DCC" w:rsidP="009D5DCC">
            <w:pPr>
              <w:spacing w:after="0" w:line="240" w:lineRule="auto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D5DCC"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  <w:t> </w:t>
            </w:r>
          </w:p>
        </w:tc>
      </w:tr>
    </w:tbl>
    <w:p w:rsidR="009D5DCC" w:rsidRPr="009D5DCC" w:rsidRDefault="009D5DCC" w:rsidP="009D5DC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494948"/>
          <w:lang w:eastAsia="ru-RU"/>
        </w:rPr>
        <w:t> </w:t>
      </w:r>
    </w:p>
    <w:p w:rsidR="009D5DCC" w:rsidRPr="009D5DCC" w:rsidRDefault="009D5DCC" w:rsidP="009D5DC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imes New Roman" w:eastAsia="Times New Roman" w:hAnsi="Times New Roman" w:cs="Times New Roman"/>
          <w:color w:val="494948"/>
          <w:sz w:val="24"/>
          <w:szCs w:val="24"/>
          <w:lang w:eastAsia="ru-RU"/>
        </w:rPr>
        <w:t>Содержание разделов (этапов) практики:</w:t>
      </w:r>
    </w:p>
    <w:p w:rsidR="009D5DCC" w:rsidRPr="009D5DCC" w:rsidRDefault="009D5DCC" w:rsidP="009D5DC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Организационный этап:</w:t>
      </w:r>
    </w:p>
    <w:p w:rsidR="009D5DCC" w:rsidRPr="009D5DCC" w:rsidRDefault="009D5DCC" w:rsidP="009D5D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Установочная конференция;</w:t>
      </w:r>
    </w:p>
    <w:p w:rsidR="009D5DCC" w:rsidRPr="009D5DCC" w:rsidRDefault="009D5DCC" w:rsidP="009D5D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Инструктаж по технике безопасности;</w:t>
      </w:r>
    </w:p>
    <w:p w:rsidR="009D5DCC" w:rsidRPr="009D5DCC" w:rsidRDefault="009D5DCC" w:rsidP="009D5D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Разработка индивидуального задания и рабочего графика (плана).</w:t>
      </w:r>
    </w:p>
    <w:p w:rsidR="009D5DCC" w:rsidRPr="009D5DCC" w:rsidRDefault="009D5DCC" w:rsidP="009D5DC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Основной этап: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Поиск и подбор информации по теме исследования, включая поиск интернет-источников, периодической литературы и монографий для проведения научных исследований;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Анализ исходных данных и оценка требуемых знаний для выполнения исследования;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Выбор и обоснование использования программных средств, необходимых для проведения исследования;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Выбор методов количественной и качественной оценки для проведения сравнительного анализа решений;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lastRenderedPageBreak/>
        <w:t>Выбор и обоснование методов обработки (оценки) результатов;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Обоснование актуальности решения задачи автоматизации и предложенных методов;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Выполнение исследования на основе выбранных методов;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Оценка достоинств и недостатков предложенных методов и решений;</w:t>
      </w:r>
    </w:p>
    <w:p w:rsidR="009D5DCC" w:rsidRPr="009D5DCC" w:rsidRDefault="009D5DCC" w:rsidP="009D5DC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Оценка экономической целесообразности предлагаемого решения.</w:t>
      </w:r>
    </w:p>
    <w:p w:rsidR="009D5DCC" w:rsidRPr="009D5DCC" w:rsidRDefault="009D5DCC" w:rsidP="009D5DC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Заключительный этап: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Обобщение результатов исследования;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Подготовка материалов для научной статьи или выступления на конференции;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Подготовка отчетной документации по итогам практики;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Оформление отчета по практике в соответствии с требованиями;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Загрузка отчета по практике в дисциплину «Производственная практика (научно-исследовательская работа)»;</w:t>
      </w:r>
    </w:p>
    <w:p w:rsidR="009D5DCC" w:rsidRPr="009D5DCC" w:rsidRDefault="009D5DCC" w:rsidP="009D5D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Защита отчёта.</w:t>
      </w:r>
    </w:p>
    <w:p w:rsidR="009D5DCC" w:rsidRPr="009D5DCC" w:rsidRDefault="009D5DCC" w:rsidP="009D5DCC">
      <w:pPr>
        <w:shd w:val="clear" w:color="auto" w:fill="FFFFFF"/>
        <w:spacing w:after="225" w:line="240" w:lineRule="auto"/>
        <w:jc w:val="both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b/>
          <w:bCs/>
          <w:color w:val="494948"/>
          <w:sz w:val="24"/>
          <w:szCs w:val="24"/>
          <w:lang w:eastAsia="ru-RU"/>
        </w:rPr>
        <w:t>Таким образом, по итогам прохождения производственной практики (научно-исследовательской работы) необходимо не позднее, чем на следующий день после даты окончания практики прикрепить в поле «Ответ» комплект отчетной документации по практике:</w:t>
      </w:r>
    </w:p>
    <w:p w:rsidR="009D5DCC" w:rsidRPr="009D5DCC" w:rsidRDefault="009D5DCC" w:rsidP="009D5DC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Скан подписанного договора с организацией;</w:t>
      </w:r>
    </w:p>
    <w:p w:rsidR="009D5DCC" w:rsidRPr="009D5DCC" w:rsidRDefault="009D5DCC" w:rsidP="009D5DC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Отчет о прохождении практики, подписанный студентом, а также профильной организацией на титульном листе;</w:t>
      </w:r>
    </w:p>
    <w:p w:rsidR="009D5DCC" w:rsidRPr="009D5DCC" w:rsidRDefault="009D5DCC" w:rsidP="009D5DC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Справка на фирменном бланке Профильной организации, подписанная ответственным лицом от организации;</w:t>
      </w:r>
    </w:p>
    <w:p w:rsidR="009D5DCC" w:rsidRPr="009D5DCC" w:rsidRDefault="009D5DCC" w:rsidP="009D5DC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D5DC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 организационным вопросам необходимо держать связь с руководителем практики посредством общения в диалоговом окне</w:t>
      </w:r>
    </w:p>
    <w:p w:rsidR="00367301" w:rsidRDefault="00367301">
      <w:bookmarkStart w:id="0" w:name="_GoBack"/>
      <w:bookmarkEnd w:id="0"/>
    </w:p>
    <w:sectPr w:rsidR="0036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33CE"/>
    <w:multiLevelType w:val="multilevel"/>
    <w:tmpl w:val="2802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010B1"/>
    <w:multiLevelType w:val="multilevel"/>
    <w:tmpl w:val="1CF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60FB4"/>
    <w:multiLevelType w:val="multilevel"/>
    <w:tmpl w:val="61800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9418E"/>
    <w:multiLevelType w:val="multilevel"/>
    <w:tmpl w:val="51F6C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076CE"/>
    <w:multiLevelType w:val="multilevel"/>
    <w:tmpl w:val="2B6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E2E1C"/>
    <w:multiLevelType w:val="multilevel"/>
    <w:tmpl w:val="510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86A9C"/>
    <w:multiLevelType w:val="multilevel"/>
    <w:tmpl w:val="4F36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33693"/>
    <w:multiLevelType w:val="multilevel"/>
    <w:tmpl w:val="C39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B86D5D"/>
    <w:multiLevelType w:val="multilevel"/>
    <w:tmpl w:val="8FA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CC"/>
    <w:rsid w:val="00367301"/>
    <w:rsid w:val="009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EB6E2-DEDA-454A-B849-2AFC670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5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2023-02-07T05:58:00Z</dcterms:created>
  <dcterms:modified xsi:type="dcterms:W3CDTF">2023-02-07T05:59:00Z</dcterms:modified>
</cp:coreProperties>
</file>