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ef3bc57e7722117c8c50ff541ef4aa98d930cc0"/>
    <w:p>
      <w:pPr>
        <w:pStyle w:val="Heading1"/>
      </w:pPr>
      <w:r>
        <w:t xml:space="preserve">Citation-Grounded Research Plan: Representational Analysis of Topics, Languages, Regions, and Steering Vectors</w:t>
      </w:r>
    </w:p>
    <w:p>
      <w:pPr>
        <w:pStyle w:val="FirstParagraph"/>
      </w:pPr>
      <w:r>
        <w:t xml:space="preserve">Purpose: design a defensible pipeline for analyzing how language models represent topics across</w:t>
      </w:r>
      <w:r>
        <w:t xml:space="preserve"> </w:t>
      </w:r>
      <w:r>
        <w:rPr>
          <w:rStyle w:val="VerbatimChar"/>
        </w:rPr>
        <w:t xml:space="preserve">language_region</w:t>
      </w:r>
      <w:r>
        <w:t xml:space="preserve"> </w:t>
      </w:r>
      <w:r>
        <w:t xml:space="preserve">groupings, and how to use topic-labeled corpora together with multilingual aligned datasets such as FLORES/FLORES+ and SIB-200.</w:t>
      </w:r>
    </w:p>
    <w:p>
      <w:pPr>
        <w:pStyle w:val="BodyText"/>
      </w:pPr>
      <w:r>
        <w:t xml:space="preserve">Core thesis: do not treat topic, language, region, script, source, and prompt format as independent nuisances. Treat them as measurable factors in the model representation and explicitly estimate, remove, compare, and causally test them.</w:t>
      </w:r>
    </w:p>
    <w:bookmarkStart w:id="20" w:name="research-questions"/>
    <w:p>
      <w:pPr>
        <w:pStyle w:val="Heading2"/>
      </w:pPr>
      <w:r>
        <w:t xml:space="preserve">1. Research questions</w:t>
      </w:r>
    </w:p>
    <w:p>
      <w:pPr>
        <w:pStyle w:val="Compact"/>
        <w:numPr>
          <w:ilvl w:val="0"/>
          <w:numId w:val="1001"/>
        </w:numPr>
      </w:pPr>
      <w:r>
        <w:t xml:space="preserve">Which layers encode topic information, language identity, region identity, and</w:t>
      </w:r>
      <w:r>
        <w:t xml:space="preserve"> </w:t>
      </w:r>
      <w:r>
        <w:rPr>
          <w:rStyle w:val="VerbatimChar"/>
        </w:rPr>
        <w:t xml:space="preserve">language_region</w:t>
      </w:r>
      <w:r>
        <w:t xml:space="preserve"> </w:t>
      </w:r>
      <w:r>
        <w:t xml:space="preserve">combinations?</w:t>
      </w:r>
    </w:p>
    <w:p>
      <w:pPr>
        <w:pStyle w:val="Compact"/>
        <w:numPr>
          <w:ilvl w:val="0"/>
          <w:numId w:val="1001"/>
        </w:numPr>
      </w:pPr>
      <w:r>
        <w:t xml:space="preserve">Are topic directions shared across languages, or are they language-specific and region-specific?</w:t>
      </w:r>
    </w:p>
    <w:p>
      <w:pPr>
        <w:pStyle w:val="Compact"/>
        <w:numPr>
          <w:ilvl w:val="0"/>
          <w:numId w:val="1001"/>
        </w:numPr>
      </w:pPr>
      <w:r>
        <w:t xml:space="preserve">Does language/language_region centering reveal more language-invariant topic geometry?</w:t>
      </w:r>
    </w:p>
    <w:p>
      <w:pPr>
        <w:pStyle w:val="Compact"/>
        <w:numPr>
          <w:ilvl w:val="0"/>
          <w:numId w:val="1001"/>
        </w:numPr>
      </w:pPr>
      <w:r>
        <w:t xml:space="preserve">Can aligned datasets such as FLORES separate semantic sentence identity from language, script, and region effects?</w:t>
      </w:r>
    </w:p>
    <w:p>
      <w:pPr>
        <w:pStyle w:val="Compact"/>
        <w:numPr>
          <w:ilvl w:val="0"/>
          <w:numId w:val="1001"/>
        </w:numPr>
      </w:pPr>
      <w:r>
        <w:t xml:space="preserve">Which topic/language_region directions are merely decodable, and which are causally useful for steering generation?</w:t>
      </w:r>
    </w:p>
    <w:p>
      <w:pPr>
        <w:pStyle w:val="FirstParagraph"/>
      </w:pPr>
      <w:r>
        <w:t xml:space="preserve">Representations should be modeled as a factorized object:</w:t>
      </w:r>
    </w:p>
    <w:p>
      <w:pPr>
        <w:pStyle w:val="SourceCode"/>
      </w:pPr>
      <w:r>
        <w:rPr>
          <w:rStyle w:val="VerbatimChar"/>
        </w:rPr>
        <w:t xml:space="preserve">h_l(x) ≈ semantic_item + topic + language + region + script + source + prompt_template + topic×language_region + residual</w:t>
      </w:r>
    </w:p>
    <w:p>
      <w:pPr>
        <w:pStyle w:val="FirstParagraph"/>
      </w:pPr>
      <w:r>
        <w:t xml:space="preserve">This is consistent with the linear representation view that high-level concepts can often be usefully analyzed as directions or subspaces, while also requiring care about geometry, inner products, and the chosen representation space [R3].</w:t>
      </w:r>
    </w:p>
    <w:bookmarkEnd w:id="20"/>
    <w:bookmarkStart w:id="21" w:name="model-selection"/>
    <w:p>
      <w:pPr>
        <w:pStyle w:val="Heading2"/>
      </w:pPr>
      <w:r>
        <w:t xml:space="preserve">2. Model selection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Model family</w:t>
            </w:r>
          </w:p>
        </w:tc>
        <w:tc>
          <w:tcPr/>
          <w:p>
            <w:pPr>
              <w:pStyle w:val="Compact"/>
              <w:jc w:val="left"/>
            </w:pPr>
            <w:r>
              <w:t xml:space="preserve">Why include it</w:t>
            </w:r>
          </w:p>
        </w:tc>
        <w:tc>
          <w:tcPr/>
          <w:p>
            <w:pPr>
              <w:pStyle w:val="Compact"/>
              <w:jc w:val="left"/>
            </w:pPr>
            <w:r>
              <w:t xml:space="preserve">Primary analyses</w:t>
            </w:r>
          </w:p>
        </w:tc>
      </w:tr>
      <w:tr>
        <w:tc>
          <w:tcPr/>
          <w:p>
            <w:pPr>
              <w:pStyle w:val="Compact"/>
              <w:jc w:val="left"/>
            </w:pPr>
            <w:r>
              <w:t xml:space="preserve">Decoder-only multilingual/instruction LLM</w:t>
            </w:r>
          </w:p>
        </w:tc>
        <w:tc>
          <w:tcPr/>
          <w:p>
            <w:pPr>
              <w:pStyle w:val="Compact"/>
              <w:jc w:val="left"/>
            </w:pPr>
            <w:r>
              <w:t xml:space="preserve">Needed for residual-stream analysis, last-token behavior, and activation steering.</w:t>
            </w:r>
          </w:p>
        </w:tc>
        <w:tc>
          <w:tcPr/>
          <w:p>
            <w:pPr>
              <w:pStyle w:val="Compact"/>
              <w:jc w:val="left"/>
            </w:pPr>
            <w:r>
              <w:t xml:space="preserve">Layer sweep, topic vectors, language_region vectors, steering/ablation.</w:t>
            </w:r>
          </w:p>
        </w:tc>
      </w:tr>
      <w:tr>
        <w:tc>
          <w:tcPr/>
          <w:p>
            <w:pPr>
              <w:pStyle w:val="Compact"/>
              <w:jc w:val="left"/>
            </w:pPr>
            <w:r>
              <w:t xml:space="preserve">Encoder multilingual model such as mBERT or XLM-R</w:t>
            </w:r>
          </w:p>
        </w:tc>
        <w:tc>
          <w:tcPr/>
          <w:p>
            <w:pPr>
              <w:pStyle w:val="Compact"/>
              <w:jc w:val="left"/>
            </w:pPr>
            <w:r>
              <w:t xml:space="preserve">Strong baseline for multilingual internal representations and layer-wise probing.</w:t>
            </w:r>
          </w:p>
        </w:tc>
        <w:tc>
          <w:tcPr/>
          <w:p>
            <w:pPr>
              <w:pStyle w:val="Compact"/>
              <w:jc w:val="left"/>
            </w:pPr>
            <w:r>
              <w:t xml:space="preserve">Mean-pooled sentence representations, multilingual transfer, probing.</w:t>
            </w:r>
          </w:p>
        </w:tc>
      </w:tr>
      <w:tr>
        <w:tc>
          <w:tcPr/>
          <w:p>
            <w:pPr>
              <w:pStyle w:val="Compact"/>
              <w:jc w:val="left"/>
            </w:pPr>
            <w:r>
              <w:t xml:space="preserve">Sentence embedding model such as LaBSE, multilingual E5, or a multilingual SentenceTransformer</w:t>
            </w:r>
          </w:p>
        </w:tc>
        <w:tc>
          <w:tcPr/>
          <w:p>
            <w:pPr>
              <w:pStyle w:val="Compact"/>
              <w:jc w:val="left"/>
            </w:pPr>
            <w:r>
              <w:t xml:space="preserve">Provides a tuned sentence-level semantic baseline.</w:t>
            </w:r>
          </w:p>
        </w:tc>
        <w:tc>
          <w:tcPr/>
          <w:p>
            <w:pPr>
              <w:pStyle w:val="Compact"/>
              <w:jc w:val="left"/>
            </w:pPr>
            <w:r>
              <w:t xml:space="preserve">Cross-lingual retrieval, topic clustering, semantic similarity.</w:t>
            </w:r>
          </w:p>
        </w:tc>
      </w:tr>
    </w:tbl>
    <w:p>
      <w:pPr>
        <w:pStyle w:val="BodyText"/>
      </w:pPr>
      <w:r>
        <w:t xml:space="preserve">Sentence-BERT motivates sentence-level mean-pooling baselines for semantic similarity, while LaBSE motivates language-agnostic multilingual sentence embedding baselines [R10][R21].</w:t>
      </w:r>
    </w:p>
    <w:bookmarkEnd w:id="21"/>
    <w:bookmarkStart w:id="24" w:name="representation-extraction-decisions"/>
    <w:p>
      <w:pPr>
        <w:pStyle w:val="Heading2"/>
      </w:pPr>
      <w:r>
        <w:t xml:space="preserve">3. Representation extraction decisions</w:t>
      </w:r>
    </w:p>
    <w:bookmarkStart w:id="22" w:name="X26e7942d841b932c0900868c4fc06731755b3e1"/>
    <w:p>
      <w:pPr>
        <w:pStyle w:val="Heading3"/>
      </w:pPr>
      <w:r>
        <w:t xml:space="preserve">3.1 Primary representation: hidden states / residual stream</w:t>
      </w:r>
    </w:p>
    <w:p>
      <w:pPr>
        <w:pStyle w:val="FirstParagraph"/>
      </w:pPr>
      <w:r>
        <w:rPr>
          <w:b/>
          <w:bCs/>
        </w:rPr>
        <w:t xml:space="preserve">Decision:</w:t>
      </w:r>
      <w:r>
        <w:t xml:space="preserve"> </w:t>
      </w:r>
      <w:r>
        <w:t xml:space="preserve">use hidden states or residual-stream activations at every layer as the primary representation. For decoder-only LLMs, the residual stream is the central state read and written by attention and MLP blocks, and it is the representation most commonly used by activation-steering work.</w:t>
      </w:r>
    </w:p>
    <w:p>
      <w:pPr>
        <w:pStyle w:val="BodyText"/>
      </w:pPr>
      <w:r>
        <w:rPr>
          <w:b/>
          <w:bCs/>
        </w:rPr>
        <w:t xml:space="preserve">Justification:</w:t>
      </w:r>
      <w:r>
        <w:t xml:space="preserve"> </w:t>
      </w:r>
      <w:r>
        <w:t xml:space="preserve">Representation Engineering frames analysis around population-level internal representations rather than isolated neurons; Geometry of Truth studies linear truth/falsity structure in LLM hidden states; Activation Addition and Contrastive Activation Addition derive intervention vectors from internal activations and add them during inference [R1][R2][R4][R5].</w:t>
      </w:r>
    </w:p>
    <w:p>
      <w:pPr>
        <w:pStyle w:val="SourceCode"/>
      </w:pPr>
      <w:r>
        <w:rPr>
          <w:rStyle w:val="VerbatimChar"/>
        </w:rPr>
        <w:t xml:space="preserve">For each sample:</w:t>
      </w:r>
      <w:r>
        <w:br/>
      </w:r>
      <w:r>
        <w:rPr>
          <w:rStyle w:val="VerbatimChar"/>
        </w:rPr>
        <w:t xml:space="preserve">  save layer_0 embedding output</w:t>
      </w:r>
      <w:r>
        <w:br/>
      </w:r>
      <w:r>
        <w:rPr>
          <w:rStyle w:val="VerbatimChar"/>
        </w:rPr>
        <w:t xml:space="preserve">  save hidden_state/residual_stream after every transformer block</w:t>
      </w:r>
      <w:r>
        <w:br/>
      </w:r>
      <w:r>
        <w:rPr>
          <w:rStyle w:val="VerbatimChar"/>
        </w:rPr>
        <w:t xml:space="preserve">  if possible, distinguish resid_pre, attn_out, mlp_out, resid_post</w:t>
      </w:r>
    </w:p>
    <w:bookmarkEnd w:id="22"/>
    <w:bookmarkStart w:id="23" w:name="X177308ebbb5409e4427c135d2a6aed2ced8bb18"/>
    <w:p>
      <w:pPr>
        <w:pStyle w:val="Heading3"/>
      </w:pPr>
      <w:r>
        <w:t xml:space="preserve">3.2 Embeddings: baseline and confound control, not the main semantic representation</w:t>
      </w:r>
    </w:p>
    <w:p>
      <w:pPr>
        <w:pStyle w:val="FirstParagraph"/>
      </w:pPr>
      <w:r>
        <w:rPr>
          <w:b/>
          <w:bCs/>
        </w:rPr>
        <w:t xml:space="preserve">Decision:</w:t>
      </w:r>
      <w:r>
        <w:t xml:space="preserve"> </w:t>
      </w:r>
      <w:r>
        <w:t xml:space="preserve">extract layer-0/token-embedding representations, but use them as a baseline. If topic, language, script, or region are already separable at layer 0, later-layer results may partly reflect lexical, script, or tokenization artifacts.</w:t>
      </w:r>
    </w:p>
    <w:p>
      <w:pPr>
        <w:pStyle w:val="BodyText"/>
      </w:pPr>
      <w:r>
        <w:rPr>
          <w:b/>
          <w:bCs/>
        </w:rPr>
        <w:t xml:space="preserve">Justification:</w:t>
      </w:r>
      <w:r>
        <w:t xml:space="preserve"> </w:t>
      </w:r>
      <w:r>
        <w:t xml:space="preserve">multilingual representation work shows that models contain both shared multilingual structure and language-sensitive axes. Therefore, the embedding layer and early layers are needed to diagnose language/script/tokenization confounds rather than to claim semantic topic abstraction [R16][R17].</w:t>
      </w:r>
    </w:p>
    <w:bookmarkEnd w:id="23"/>
    <w:bookmarkEnd w:id="24"/>
    <w:bookmarkStart w:id="28" w:name="token-pooling-decisions"/>
    <w:p>
      <w:pPr>
        <w:pStyle w:val="Heading2"/>
      </w:pPr>
      <w:r>
        <w:t xml:space="preserve">4. Token pooling decisions</w:t>
      </w:r>
    </w:p>
    <w:bookmarkStart w:id="25" w:name="Xb2a6c1c70c1e51cb3ad624673cb5d8a4bd796e1"/>
    <w:p>
      <w:pPr>
        <w:pStyle w:val="Heading3"/>
      </w:pPr>
      <w:r>
        <w:t xml:space="preserve">4.1 Main sentence/topic representation: mean over content tokens</w:t>
      </w:r>
    </w:p>
    <w:p>
      <w:pPr>
        <w:pStyle w:val="FirstParagraph"/>
      </w:pPr>
      <w:r>
        <w:rPr>
          <w:b/>
          <w:bCs/>
        </w:rPr>
        <w:t xml:space="preserve">Decision:</w:t>
      </w:r>
      <w:r>
        <w:t xml:space="preserve"> </w:t>
      </w:r>
      <w:r>
        <w:t xml:space="preserve">for topic geometry, multilingual semantic alignment, and FLORES sentence-level analysis, use mean pooling over content tokens.</w:t>
      </w:r>
    </w:p>
    <w:p>
      <w:pPr>
        <w:pStyle w:val="BodyText"/>
      </w:pPr>
      <w:r>
        <w:rPr>
          <w:b/>
          <w:bCs/>
        </w:rPr>
        <w:t xml:space="preserve">Justification:</w:t>
      </w:r>
      <w:r>
        <w:t xml:space="preserve"> </w:t>
      </w:r>
      <w:r>
        <w:t xml:space="preserve">Sentence-BERT explicitly uses pooling over token outputs to produce fixed-size sentence embeddings and treats mean pooling as a strong default for semantic sentence representations [R10]. Mean pooling is also more natural for whole-sentence topic analysis than a single arbitrary token position.</w:t>
      </w:r>
    </w:p>
    <w:p>
      <w:pPr>
        <w:pStyle w:val="SourceCode"/>
      </w:pPr>
      <w:r>
        <w:rPr>
          <w:rStyle w:val="VerbatimChar"/>
        </w:rPr>
        <w:t xml:space="preserve">content_tokens = tokens excluding BOS, EOS, PAD, system prompt, instructions, and answer-label tokens</w:t>
      </w:r>
      <w:r>
        <w:br/>
      </w:r>
      <w:r>
        <w:rPr>
          <w:rStyle w:val="VerbatimChar"/>
        </w:rPr>
        <w:t xml:space="preserve">h_mean_l = mean(hidden_state_l[content_tokens])</w:t>
      </w:r>
    </w:p>
    <w:bookmarkEnd w:id="25"/>
    <w:bookmarkStart w:id="26" w:name="Xc94ee8f543fbc1084941fb0ef53a3ea84437f9e"/>
    <w:p>
      <w:pPr>
        <w:pStyle w:val="Heading3"/>
      </w:pPr>
      <w:r>
        <w:t xml:space="preserve">4.2 Decoder behavior and steering representation: last content token</w:t>
      </w:r>
    </w:p>
    <w:p>
      <w:pPr>
        <w:pStyle w:val="FirstParagraph"/>
      </w:pPr>
      <w:r>
        <w:rPr>
          <w:b/>
          <w:bCs/>
        </w:rPr>
        <w:t xml:space="preserve">Decision:</w:t>
      </w:r>
      <w:r>
        <w:t xml:space="preserve"> </w:t>
      </w:r>
      <w:r>
        <w:t xml:space="preserve">for decoder-only LLMs, also extract the last content token representation. This is essential for next-token prediction, classification-prompt states, and generation steering.</w:t>
      </w:r>
    </w:p>
    <w:p>
      <w:pPr>
        <w:pStyle w:val="BodyText"/>
      </w:pPr>
      <w:r>
        <w:rPr>
          <w:b/>
          <w:bCs/>
        </w:rPr>
        <w:t xml:space="preserve">Justification:</w:t>
      </w:r>
      <w:r>
        <w:t xml:space="preserve"> </w:t>
      </w:r>
      <w:r>
        <w:t xml:space="preserve">activation-steering papers often compute and inject directions at activations relevant to the model’s continuation state. Contrastive Activation Addition constructs directions from residual-stream differences between positive and negative examples and applies them during forward passes; last-token or generation-position activations are commonly used for continuation behavior [R5][R4].</w:t>
      </w:r>
    </w:p>
    <w:bookmarkEnd w:id="26"/>
    <w:bookmarkStart w:id="27" w:name="prompt-and-wrapper-tokens"/>
    <w:p>
      <w:pPr>
        <w:pStyle w:val="Heading3"/>
      </w:pPr>
      <w:r>
        <w:t xml:space="preserve">4.3 Prompt and wrapper tokens</w:t>
      </w:r>
    </w:p>
    <w:p>
      <w:pPr>
        <w:pStyle w:val="FirstParagraph"/>
      </w:pPr>
      <w:r>
        <w:rPr>
          <w:b/>
          <w:bCs/>
        </w:rPr>
        <w:t xml:space="preserve">Decision:</w:t>
      </w:r>
      <w:r>
        <w:t xml:space="preserve"> </w:t>
      </w:r>
      <w:r>
        <w:t xml:space="preserve">do not average over instruction or prompt-wrapper tokens when the research target is the text’s topic/language representation. Keep separate masks for content tokens, instruction tokens, delimiter tokens, and answer-label tokens.</w:t>
      </w:r>
    </w:p>
    <w:p>
      <w:pPr>
        <w:pStyle w:val="BodyText"/>
      </w:pPr>
      <w:r>
        <w:rPr>
          <w:b/>
          <w:bCs/>
        </w:rPr>
        <w:t xml:space="preserve">Justification:</w:t>
      </w:r>
      <w:r>
        <w:t xml:space="preserve"> </w:t>
      </w:r>
      <w:r>
        <w:t xml:space="preserve">BERT attention analyses show that special/delimiter tokens and positional structure can attract distinctive attention patterns, so including prompt wrappers can contaminate the text representation with prompt-format signal [R14].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Readout</w:t>
            </w:r>
          </w:p>
        </w:tc>
        <w:tc>
          <w:tcPr/>
          <w:p>
            <w:pPr>
              <w:pStyle w:val="Compact"/>
              <w:jc w:val="left"/>
            </w:pPr>
            <w:r>
              <w:t xml:space="preserve">Use it for</w:t>
            </w:r>
          </w:p>
        </w:tc>
        <w:tc>
          <w:tcPr/>
          <w:p>
            <w:pPr>
              <w:pStyle w:val="Compact"/>
              <w:jc w:val="left"/>
            </w:pPr>
            <w:r>
              <w:t xml:space="preserve">Do not use it as sole evidence for</w:t>
            </w:r>
          </w:p>
        </w:tc>
      </w:tr>
      <w:tr>
        <w:tc>
          <w:tcPr/>
          <w:p>
            <w:pPr>
              <w:pStyle w:val="Compact"/>
              <w:jc w:val="left"/>
            </w:pPr>
            <w:r>
              <w:t xml:space="preserve">Mean content-token pooling</w:t>
            </w:r>
          </w:p>
        </w:tc>
        <w:tc>
          <w:tcPr/>
          <w:p>
            <w:pPr>
              <w:pStyle w:val="Compact"/>
              <w:jc w:val="left"/>
            </w:pPr>
            <w:r>
              <w:t xml:space="preserve">Topic geometry, cross-lingual semantic alignment, FLORES decomposition.</w:t>
            </w:r>
          </w:p>
        </w:tc>
        <w:tc>
          <w:tcPr/>
          <w:p>
            <w:pPr>
              <w:pStyle w:val="Compact"/>
              <w:jc w:val="left"/>
            </w:pPr>
            <w:r>
              <w:t xml:space="preserve">Generation-time causal behavior.</w:t>
            </w:r>
          </w:p>
        </w:tc>
      </w:tr>
      <w:tr>
        <w:tc>
          <w:tcPr/>
          <w:p>
            <w:pPr>
              <w:pStyle w:val="Compact"/>
              <w:jc w:val="left"/>
            </w:pPr>
            <w:r>
              <w:t xml:space="preserve">Last content token</w:t>
            </w:r>
          </w:p>
        </w:tc>
        <w:tc>
          <w:tcPr/>
          <w:p>
            <w:pPr>
              <w:pStyle w:val="Compact"/>
              <w:jc w:val="left"/>
            </w:pPr>
            <w:r>
              <w:t xml:space="preserve">Decoder next-token behavior, prompted classification state, steering.</w:t>
            </w:r>
          </w:p>
        </w:tc>
        <w:tc>
          <w:tcPr/>
          <w:p>
            <w:pPr>
              <w:pStyle w:val="Compact"/>
              <w:jc w:val="left"/>
            </w:pPr>
            <w:r>
              <w:t xml:space="preserve">Whole-document semantic geometry without comparison to mean pooling.</w:t>
            </w:r>
          </w:p>
        </w:tc>
      </w:tr>
      <w:tr>
        <w:tc>
          <w:tcPr/>
          <w:p>
            <w:pPr>
              <w:pStyle w:val="Compact"/>
              <w:jc w:val="left"/>
            </w:pPr>
            <w:r>
              <w:t xml:space="preserve">Layer-0 embedding mean</w:t>
            </w:r>
          </w:p>
        </w:tc>
        <w:tc>
          <w:tcPr/>
          <w:p>
            <w:pPr>
              <w:pStyle w:val="Compact"/>
              <w:jc w:val="left"/>
            </w:pPr>
            <w:r>
              <w:t xml:space="preserve">Tokenization/script/lexical confound baseline.</w:t>
            </w:r>
          </w:p>
        </w:tc>
        <w:tc>
          <w:tcPr/>
          <w:p>
            <w:pPr>
              <w:pStyle w:val="Compact"/>
              <w:jc w:val="left"/>
            </w:pPr>
            <w:r>
              <w:t xml:space="preserve">Final semantic conclusions.</w:t>
            </w:r>
          </w:p>
        </w:tc>
      </w:tr>
      <w:tr>
        <w:tc>
          <w:tcPr/>
          <w:p>
            <w:pPr>
              <w:pStyle w:val="Compact"/>
              <w:jc w:val="left"/>
            </w:pPr>
            <w:r>
              <w:t xml:space="preserve">CLS/BOS token</w:t>
            </w:r>
          </w:p>
        </w:tc>
        <w:tc>
          <w:tcPr/>
          <w:p>
            <w:pPr>
              <w:pStyle w:val="Compact"/>
              <w:jc w:val="left"/>
            </w:pPr>
            <w:r>
              <w:t xml:space="preserve">Optional encoder/decoder diagnostic.</w:t>
            </w:r>
          </w:p>
        </w:tc>
        <w:tc>
          <w:tcPr/>
          <w:p>
            <w:pPr>
              <w:pStyle w:val="Compact"/>
              <w:jc w:val="left"/>
            </w:pPr>
            <w:r>
              <w:t xml:space="preserve">Main sentence representation unless the model was trained to use it that way.</w:t>
            </w:r>
          </w:p>
        </w:tc>
      </w:tr>
    </w:tbl>
    <w:bookmarkEnd w:id="27"/>
    <w:bookmarkEnd w:id="28"/>
    <w:bookmarkStart w:id="29" w:name="layer-selection-decision"/>
    <w:p>
      <w:pPr>
        <w:pStyle w:val="Heading2"/>
      </w:pPr>
      <w:r>
        <w:t xml:space="preserve">5. Layer-selection decision</w:t>
      </w:r>
    </w:p>
    <w:p>
      <w:pPr>
        <w:pStyle w:val="FirstParagraph"/>
      </w:pPr>
      <w:r>
        <w:rPr>
          <w:b/>
          <w:bCs/>
        </w:rPr>
        <w:t xml:space="preserve">Decision:</w:t>
      </w:r>
      <w:r>
        <w:t xml:space="preserve"> </w:t>
      </w:r>
      <w:r>
        <w:t xml:space="preserve">sweep all layers and report layer curves. Do not select a single layer in advance.</w:t>
      </w:r>
    </w:p>
    <w:p>
      <w:pPr>
        <w:pStyle w:val="BodyText"/>
      </w:pPr>
      <w:r>
        <w:rPr>
          <w:b/>
          <w:bCs/>
        </w:rPr>
        <w:t xml:space="preserve">Justification:</w:t>
      </w:r>
      <w:r>
        <w:t xml:space="preserve"> </w:t>
      </w:r>
      <w:r>
        <w:t xml:space="preserve">BERT layer analyses show that different linguistic and semantic properties appear at different depths. Tenney et al. show a progression resembling the classical NLP pipeline, and BERTology surveys emphasize that conclusions depend on layer choice [R12][R13].</w:t>
      </w:r>
    </w:p>
    <w:p>
      <w:pPr>
        <w:pStyle w:val="BodyText"/>
      </w:pPr>
      <w:r>
        <w:rPr>
          <w:b/>
          <w:bCs/>
        </w:rPr>
        <w:t xml:space="preserve">Expected pattern:</w:t>
      </w:r>
      <w:r>
        <w:t xml:space="preserve"> </w:t>
      </w:r>
      <w:r>
        <w:t xml:space="preserve">very early layers encode tokenization, script, and lexical information; early/middle layers encode morphology, syntax, and language identity; middle-to-late layers often encode more abstract semantic and task-relevant directions; final layers are more output- and prompt-format-specific. This expectation must be empirically verified in your models and datasets, not assumed [R12][R13][R16].</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Layer band</w:t>
            </w:r>
          </w:p>
        </w:tc>
        <w:tc>
          <w:tcPr/>
          <w:p>
            <w:pPr>
              <w:pStyle w:val="Compact"/>
              <w:jc w:val="right"/>
            </w:pPr>
            <w:r>
              <w:t xml:space="preserve">Approximate depth</w:t>
            </w:r>
          </w:p>
        </w:tc>
        <w:tc>
          <w:tcPr/>
          <w:p>
            <w:pPr>
              <w:pStyle w:val="Compact"/>
              <w:jc w:val="left"/>
            </w:pPr>
            <w:r>
              <w:t xml:space="preserve">Hypothesized dominant signal</w:t>
            </w:r>
          </w:p>
        </w:tc>
      </w:tr>
      <w:tr>
        <w:tc>
          <w:tcPr/>
          <w:p>
            <w:pPr>
              <w:pStyle w:val="Compact"/>
              <w:jc w:val="left"/>
            </w:pPr>
            <w:r>
              <w:t xml:space="preserve">Embedding / layer 0</w:t>
            </w:r>
          </w:p>
        </w:tc>
        <w:tc>
          <w:tcPr/>
          <w:p>
            <w:pPr>
              <w:pStyle w:val="Compact"/>
              <w:jc w:val="right"/>
            </w:pPr>
            <w:r>
              <w:t xml:space="preserve">0%</w:t>
            </w:r>
          </w:p>
        </w:tc>
        <w:tc>
          <w:tcPr/>
          <w:p>
            <w:pPr>
              <w:pStyle w:val="Compact"/>
              <w:jc w:val="left"/>
            </w:pPr>
            <w:r>
              <w:t xml:space="preserve">Script, tokenization, lexical identity.</w:t>
            </w:r>
          </w:p>
        </w:tc>
      </w:tr>
      <w:tr>
        <w:tc>
          <w:tcPr/>
          <w:p>
            <w:pPr>
              <w:pStyle w:val="Compact"/>
              <w:jc w:val="left"/>
            </w:pPr>
            <w:r>
              <w:t xml:space="preserve">Early</w:t>
            </w:r>
          </w:p>
        </w:tc>
        <w:tc>
          <w:tcPr/>
          <w:p>
            <w:pPr>
              <w:pStyle w:val="Compact"/>
              <w:jc w:val="right"/>
            </w:pPr>
            <w:r>
              <w:t xml:space="preserve">0-25%</w:t>
            </w:r>
          </w:p>
        </w:tc>
        <w:tc>
          <w:tcPr/>
          <w:p>
            <w:pPr>
              <w:pStyle w:val="Compact"/>
              <w:jc w:val="left"/>
            </w:pPr>
            <w:r>
              <w:t xml:space="preserve">Morphology, local syntax, language ID.</w:t>
            </w:r>
          </w:p>
        </w:tc>
      </w:tr>
      <w:tr>
        <w:tc>
          <w:tcPr/>
          <w:p>
            <w:pPr>
              <w:pStyle w:val="Compact"/>
              <w:jc w:val="left"/>
            </w:pPr>
            <w:r>
              <w:t xml:space="preserve">Middle</w:t>
            </w:r>
          </w:p>
        </w:tc>
        <w:tc>
          <w:tcPr/>
          <w:p>
            <w:pPr>
              <w:pStyle w:val="Compact"/>
              <w:jc w:val="right"/>
            </w:pPr>
            <w:r>
              <w:t xml:space="preserve">25-60%</w:t>
            </w:r>
          </w:p>
        </w:tc>
        <w:tc>
          <w:tcPr/>
          <w:p>
            <w:pPr>
              <w:pStyle w:val="Compact"/>
              <w:jc w:val="left"/>
            </w:pPr>
            <w:r>
              <w:t xml:space="preserve">Syntax, cross-lingual structure, emerging semantics.</w:t>
            </w:r>
          </w:p>
        </w:tc>
      </w:tr>
      <w:tr>
        <w:tc>
          <w:tcPr/>
          <w:p>
            <w:pPr>
              <w:pStyle w:val="Compact"/>
              <w:jc w:val="left"/>
            </w:pPr>
            <w:r>
              <w:t xml:space="preserve">Late-middle</w:t>
            </w:r>
          </w:p>
        </w:tc>
        <w:tc>
          <w:tcPr/>
          <w:p>
            <w:pPr>
              <w:pStyle w:val="Compact"/>
              <w:jc w:val="right"/>
            </w:pPr>
            <w:r>
              <w:t xml:space="preserve">60-85%</w:t>
            </w:r>
          </w:p>
        </w:tc>
        <w:tc>
          <w:tcPr/>
          <w:p>
            <w:pPr>
              <w:pStyle w:val="Compact"/>
              <w:jc w:val="left"/>
            </w:pPr>
            <w:r>
              <w:t xml:space="preserve">Topic abstractions, behaviorally useful directions.</w:t>
            </w:r>
          </w:p>
        </w:tc>
      </w:tr>
      <w:tr>
        <w:tc>
          <w:tcPr/>
          <w:p>
            <w:pPr>
              <w:pStyle w:val="Compact"/>
              <w:jc w:val="left"/>
            </w:pPr>
            <w:r>
              <w:t xml:space="preserve">Final</w:t>
            </w:r>
          </w:p>
        </w:tc>
        <w:tc>
          <w:tcPr/>
          <w:p>
            <w:pPr>
              <w:pStyle w:val="Compact"/>
              <w:jc w:val="right"/>
            </w:pPr>
            <w:r>
              <w:t xml:space="preserve">85-100%</w:t>
            </w:r>
          </w:p>
        </w:tc>
        <w:tc>
          <w:tcPr/>
          <w:p>
            <w:pPr>
              <w:pStyle w:val="Compact"/>
              <w:jc w:val="left"/>
            </w:pPr>
            <w:r>
              <w:t xml:space="preserve">Output distribution, prompt and label format.</w:t>
            </w:r>
          </w:p>
        </w:tc>
      </w:tr>
    </w:tbl>
    <w:bookmarkEnd w:id="29"/>
    <w:bookmarkStart w:id="34" w:name="normalization-and-centering"/>
    <w:p>
      <w:pPr>
        <w:pStyle w:val="Heading2"/>
      </w:pPr>
      <w:r>
        <w:t xml:space="preserve">6. Normalization and centering</w:t>
      </w:r>
    </w:p>
    <w:bookmarkStart w:id="30" w:name="per-layer-standardization"/>
    <w:p>
      <w:pPr>
        <w:pStyle w:val="Heading3"/>
      </w:pPr>
      <w:r>
        <w:t xml:space="preserve">6.1 Per-layer standardization</w:t>
      </w:r>
    </w:p>
    <w:p>
      <w:pPr>
        <w:pStyle w:val="FirstParagraph"/>
      </w:pPr>
      <w:r>
        <w:rPr>
          <w:b/>
          <w:bCs/>
        </w:rPr>
        <w:t xml:space="preserve">Decision:</w:t>
      </w:r>
      <w:r>
        <w:t xml:space="preserve"> </w:t>
      </w:r>
      <w:r>
        <w:t xml:space="preserve">standardize representations per model, layer, and readout using training-set statistics only. Never compare raw activations across layers as if their scales are directly comparable.</w:t>
      </w:r>
    </w:p>
    <w:p>
      <w:pPr>
        <w:pStyle w:val="BodyText"/>
      </w:pPr>
      <w:r>
        <w:rPr>
          <w:b/>
          <w:bCs/>
        </w:rPr>
        <w:t xml:space="preserve">Justification:</w:t>
      </w:r>
      <w:r>
        <w:t xml:space="preserve"> </w:t>
      </w:r>
      <w:r>
        <w:t xml:space="preserve">contextual embedding analyses show that representations differ by context and layer; more generally, neural representation comparisons are sensitive to scale, centering, and geometry. This makes per-layer normalization necessary before probing, similarity analysis, and cross-layer comparison [R11][R22][R24].</w:t>
      </w:r>
    </w:p>
    <w:p>
      <w:pPr>
        <w:pStyle w:val="SourceCode"/>
      </w:pPr>
      <w:r>
        <w:rPr>
          <w:rStyle w:val="NormalTok"/>
        </w:rPr>
        <w:t xml:space="preserve">mu_l </w:t>
      </w:r>
      <w:r>
        <w:rPr>
          <w:rStyle w:val="OperatorTok"/>
        </w:rPr>
        <w:t xml:space="preserve">=</w:t>
      </w:r>
      <w:r>
        <w:rPr>
          <w:rStyle w:val="NormalTok"/>
        </w:rPr>
        <w:t xml:space="preserve"> mean(H_train_l)</w:t>
      </w:r>
      <w:r>
        <w:br/>
      </w:r>
      <w:r>
        <w:rPr>
          <w:rStyle w:val="NormalTok"/>
        </w:rPr>
        <w:t xml:space="preserve">std_l </w:t>
      </w:r>
      <w:r>
        <w:rPr>
          <w:rStyle w:val="OperatorTok"/>
        </w:rPr>
        <w:t xml:space="preserve">=</w:t>
      </w:r>
      <w:r>
        <w:rPr>
          <w:rStyle w:val="NormalTok"/>
        </w:rPr>
        <w:t xml:space="preserve"> std(H_train_l) </w:t>
      </w:r>
      <w:r>
        <w:rPr>
          <w:rStyle w:val="OperatorTok"/>
        </w:rPr>
        <w:t xml:space="preserve">+</w:t>
      </w:r>
      <w:r>
        <w:rPr>
          <w:rStyle w:val="NormalTok"/>
        </w:rPr>
        <w:t xml:space="preserve"> </w:t>
      </w:r>
      <w:r>
        <w:rPr>
          <w:rStyle w:val="FloatTok"/>
        </w:rPr>
        <w:t xml:space="preserve">1e-6</w:t>
      </w:r>
      <w:r>
        <w:br/>
      </w:r>
      <w:r>
        <w:rPr>
          <w:rStyle w:val="NormalTok"/>
        </w:rPr>
        <w:t xml:space="preserve">Z_train_l </w:t>
      </w:r>
      <w:r>
        <w:rPr>
          <w:rStyle w:val="OperatorTok"/>
        </w:rPr>
        <w:t xml:space="preserve">=</w:t>
      </w:r>
      <w:r>
        <w:rPr>
          <w:rStyle w:val="NormalTok"/>
        </w:rPr>
        <w:t xml:space="preserve"> (H_train_l </w:t>
      </w:r>
      <w:r>
        <w:rPr>
          <w:rStyle w:val="OperatorTok"/>
        </w:rPr>
        <w:t xml:space="preserve">-</w:t>
      </w:r>
      <w:r>
        <w:rPr>
          <w:rStyle w:val="NormalTok"/>
        </w:rPr>
        <w:t xml:space="preserve"> mu_l) </w:t>
      </w:r>
      <w:r>
        <w:rPr>
          <w:rStyle w:val="OperatorTok"/>
        </w:rPr>
        <w:t xml:space="preserve">/</w:t>
      </w:r>
      <w:r>
        <w:rPr>
          <w:rStyle w:val="NormalTok"/>
        </w:rPr>
        <w:t xml:space="preserve"> std_l</w:t>
      </w:r>
      <w:r>
        <w:br/>
      </w:r>
      <w:r>
        <w:rPr>
          <w:rStyle w:val="NormalTok"/>
        </w:rPr>
        <w:t xml:space="preserve">Z_test_l  </w:t>
      </w:r>
      <w:r>
        <w:rPr>
          <w:rStyle w:val="OperatorTok"/>
        </w:rPr>
        <w:t xml:space="preserve">=</w:t>
      </w:r>
      <w:r>
        <w:rPr>
          <w:rStyle w:val="NormalTok"/>
        </w:rPr>
        <w:t xml:space="preserve"> (H_test_l  </w:t>
      </w:r>
      <w:r>
        <w:rPr>
          <w:rStyle w:val="OperatorTok"/>
        </w:rPr>
        <w:t xml:space="preserve">-</w:t>
      </w:r>
      <w:r>
        <w:rPr>
          <w:rStyle w:val="NormalTok"/>
        </w:rPr>
        <w:t xml:space="preserve"> mu_l) </w:t>
      </w:r>
      <w:r>
        <w:rPr>
          <w:rStyle w:val="OperatorTok"/>
        </w:rPr>
        <w:t xml:space="preserve">/</w:t>
      </w:r>
      <w:r>
        <w:rPr>
          <w:rStyle w:val="NormalTok"/>
        </w:rPr>
        <w:t xml:space="preserve"> std_l</w:t>
      </w:r>
    </w:p>
    <w:bookmarkEnd w:id="30"/>
    <w:bookmarkStart w:id="31" w:name="language-and-language_region-centering"/>
    <w:p>
      <w:pPr>
        <w:pStyle w:val="Heading3"/>
      </w:pPr>
      <w:r>
        <w:t xml:space="preserve">6.2 Language and language_region centering</w:t>
      </w:r>
    </w:p>
    <w:p>
      <w:pPr>
        <w:pStyle w:val="FirstParagraph"/>
      </w:pPr>
      <w:r>
        <w:rPr>
          <w:b/>
          <w:bCs/>
        </w:rPr>
        <w:t xml:space="preserve">Decision:</w:t>
      </w:r>
      <w:r>
        <w:t xml:space="preserve"> </w:t>
      </w:r>
      <w:r>
        <w:t xml:space="preserve">create raw, language-centered, and language_region-centered representations. Use raw representations to study total signal; use centered representations to ask whether topic information survives after removing language or language_region centroids.</w:t>
      </w:r>
    </w:p>
    <w:p>
      <w:pPr>
        <w:pStyle w:val="BodyText"/>
      </w:pPr>
      <w:r>
        <w:rPr>
          <w:b/>
          <w:bCs/>
        </w:rPr>
        <w:t xml:space="preserve">Justification:</w:t>
      </w:r>
      <w:r>
        <w:t xml:space="preserve"> </w:t>
      </w:r>
      <w:r>
        <w:t xml:space="preserve">the Geometry of Multilingual Language Model Representations paper finds that multilingual representations show shared subspaces after mean-centering, while language-sensitive directions remain. Language-neutral mBERT work also supports centering as a way to reduce language identification from sentence representations [R16][R17].</w:t>
      </w:r>
    </w:p>
    <w:p>
      <w:pPr>
        <w:pStyle w:val="SourceCode"/>
      </w:pPr>
      <w:r>
        <w:rPr>
          <w:rStyle w:val="NormalTok"/>
        </w:rPr>
        <w:t xml:space="preserve">h_language_centered </w:t>
      </w:r>
      <w:r>
        <w:rPr>
          <w:rStyle w:val="OperatorTok"/>
        </w:rPr>
        <w:t xml:space="preserve">=</w:t>
      </w:r>
      <w:r>
        <w:rPr>
          <w:rStyle w:val="NormalTok"/>
        </w:rPr>
        <w:t xml:space="preserve"> h </w:t>
      </w:r>
      <w:r>
        <w:rPr>
          <w:rStyle w:val="OperatorTok"/>
        </w:rPr>
        <w:t xml:space="preserve">-</w:t>
      </w:r>
      <w:r>
        <w:rPr>
          <w:rStyle w:val="NormalTok"/>
        </w:rPr>
        <w:t xml:space="preserve"> mean(h </w:t>
      </w:r>
      <w:r>
        <w:rPr>
          <w:rStyle w:val="OperatorTok"/>
        </w:rPr>
        <w:t xml:space="preserve">|</w:t>
      </w:r>
      <w:r>
        <w:rPr>
          <w:rStyle w:val="NormalTok"/>
        </w:rPr>
        <w:t xml:space="preserve"> language)</w:t>
      </w:r>
      <w:r>
        <w:br/>
      </w:r>
      <w:r>
        <w:rPr>
          <w:rStyle w:val="NormalTok"/>
        </w:rPr>
        <w:t xml:space="preserve">h_language_region_centered </w:t>
      </w:r>
      <w:r>
        <w:rPr>
          <w:rStyle w:val="OperatorTok"/>
        </w:rPr>
        <w:t xml:space="preserve">=</w:t>
      </w:r>
      <w:r>
        <w:rPr>
          <w:rStyle w:val="NormalTok"/>
        </w:rPr>
        <w:t xml:space="preserve"> h </w:t>
      </w:r>
      <w:r>
        <w:rPr>
          <w:rStyle w:val="OperatorTok"/>
        </w:rPr>
        <w:t xml:space="preserve">-</w:t>
      </w:r>
      <w:r>
        <w:rPr>
          <w:rStyle w:val="NormalTok"/>
        </w:rPr>
        <w:t xml:space="preserve"> mean(h </w:t>
      </w:r>
      <w:r>
        <w:rPr>
          <w:rStyle w:val="OperatorTok"/>
        </w:rPr>
        <w:t xml:space="preserve">|</w:t>
      </w:r>
      <w:r>
        <w:rPr>
          <w:rStyle w:val="NormalTok"/>
        </w:rPr>
        <w:t xml:space="preserve"> language_region)</w:t>
      </w:r>
      <w:r>
        <w:br/>
      </w:r>
      <w:r>
        <w:rPr>
          <w:rStyle w:val="NormalTok"/>
        </w:rPr>
        <w:t xml:space="preserve">h_topic_centered </w:t>
      </w:r>
      <w:r>
        <w:rPr>
          <w:rStyle w:val="OperatorTok"/>
        </w:rPr>
        <w:t xml:space="preserve">=</w:t>
      </w:r>
      <w:r>
        <w:rPr>
          <w:rStyle w:val="NormalTok"/>
        </w:rPr>
        <w:t xml:space="preserve"> h </w:t>
      </w:r>
      <w:r>
        <w:rPr>
          <w:rStyle w:val="OperatorTok"/>
        </w:rPr>
        <w:t xml:space="preserve">-</w:t>
      </w:r>
      <w:r>
        <w:rPr>
          <w:rStyle w:val="NormalTok"/>
        </w:rPr>
        <w:t xml:space="preserve"> mean(h </w:t>
      </w:r>
      <w:r>
        <w:rPr>
          <w:rStyle w:val="OperatorTok"/>
        </w:rPr>
        <w:t xml:space="preserve">|</w:t>
      </w:r>
      <w:r>
        <w:rPr>
          <w:rStyle w:val="NormalTok"/>
        </w:rPr>
        <w:t xml:space="preserve"> topic)</w:t>
      </w:r>
    </w:p>
    <w:bookmarkEnd w:id="31"/>
    <w:bookmarkStart w:id="32" w:name="mean-centering-for-steering-vectors"/>
    <w:p>
      <w:pPr>
        <w:pStyle w:val="Heading3"/>
      </w:pPr>
      <w:r>
        <w:t xml:space="preserve">6.3 Mean-centering for steering vectors</w:t>
      </w:r>
    </w:p>
    <w:p>
      <w:pPr>
        <w:pStyle w:val="FirstParagraph"/>
      </w:pPr>
      <w:r>
        <w:rPr>
          <w:b/>
          <w:bCs/>
        </w:rPr>
        <w:t xml:space="preserve">Decision:</w:t>
      </w:r>
      <w:r>
        <w:t xml:space="preserve"> </w:t>
      </w:r>
      <w:r>
        <w:t xml:space="preserve">when constructing steering vectors, use balanced contrastive means and consider global mean-centering.</w:t>
      </w:r>
    </w:p>
    <w:p>
      <w:pPr>
        <w:pStyle w:val="BodyText"/>
      </w:pPr>
      <w:r>
        <w:rPr>
          <w:b/>
          <w:bCs/>
        </w:rPr>
        <w:t xml:space="preserve">Justification:</w:t>
      </w:r>
      <w:r>
        <w:t xml:space="preserve"> </w:t>
      </w:r>
      <w:r>
        <w:t xml:space="preserve">Improving Activation Steering with Mean-Centring reports that mean-centering improves activation steering and function-vector extraction. Geometry of Truth and CAA both motivate contrastive mean-style directions between positive and negative sets [R6][R2][R5].</w:t>
      </w:r>
    </w:p>
    <w:p>
      <w:pPr>
        <w:pStyle w:val="SourceCode"/>
      </w:pPr>
      <w:r>
        <w:rPr>
          <w:rStyle w:val="NormalTok"/>
        </w:rPr>
        <w:t xml:space="preserve">v_topic_l </w:t>
      </w:r>
      <w:r>
        <w:rPr>
          <w:rStyle w:val="OperatorTok"/>
        </w:rPr>
        <w:t xml:space="preserve">=</w:t>
      </w:r>
      <w:r>
        <w:rPr>
          <w:rStyle w:val="NormalTok"/>
        </w:rPr>
        <w:t xml:space="preserve"> mean(H_l </w:t>
      </w:r>
      <w:r>
        <w:rPr>
          <w:rStyle w:val="OperatorTok"/>
        </w:rPr>
        <w:t xml:space="preserve">|</w:t>
      </w:r>
      <w:r>
        <w:rPr>
          <w:rStyle w:val="NormalTok"/>
        </w:rPr>
        <w:t xml:space="preserve"> topic</w:t>
      </w:r>
      <w:r>
        <w:rPr>
          <w:rStyle w:val="OperatorTok"/>
        </w:rPr>
        <w:t xml:space="preserve">=</w:t>
      </w:r>
      <w:r>
        <w:rPr>
          <w:rStyle w:val="NormalTok"/>
        </w:rPr>
        <w:t xml:space="preserve">t) </w:t>
      </w:r>
      <w:r>
        <w:rPr>
          <w:rStyle w:val="OperatorTok"/>
        </w:rPr>
        <w:t xml:space="preserve">-</w:t>
      </w:r>
      <w:r>
        <w:rPr>
          <w:rStyle w:val="NormalTok"/>
        </w:rPr>
        <w:t xml:space="preserve"> mean(H_l </w:t>
      </w:r>
      <w:r>
        <w:rPr>
          <w:rStyle w:val="OperatorTok"/>
        </w:rPr>
        <w:t xml:space="preserve">|</w:t>
      </w:r>
      <w:r>
        <w:rPr>
          <w:rStyle w:val="NormalTok"/>
        </w:rPr>
        <w:t xml:space="preserve"> balanced_background)</w:t>
      </w:r>
      <w:r>
        <w:br/>
      </w:r>
      <w:r>
        <w:rPr>
          <w:rStyle w:val="CommentTok"/>
        </w:rPr>
        <w:t xml:space="preserve"># background must be balanced over languages, regions, sources, and lengths</w:t>
      </w:r>
    </w:p>
    <w:bookmarkEnd w:id="32"/>
    <w:bookmarkStart w:id="33" w:name="unit-normalization-for-cosine-geometry"/>
    <w:p>
      <w:pPr>
        <w:pStyle w:val="Heading3"/>
      </w:pPr>
      <w:r>
        <w:t xml:space="preserve">6.4 Unit normalization for cosine geometry</w:t>
      </w:r>
    </w:p>
    <w:p>
      <w:pPr>
        <w:pStyle w:val="FirstParagraph"/>
      </w:pPr>
      <w:r>
        <w:rPr>
          <w:b/>
          <w:bCs/>
        </w:rPr>
        <w:t xml:space="preserve">Decision:</w:t>
      </w:r>
      <w:r>
        <w:t xml:space="preserve"> </w:t>
      </w:r>
      <w:r>
        <w:t xml:space="preserve">use unit-normalized vectors for cosine similarity, nearest-neighbor retrieval, centroid cosine matrices, and vector-direction comparisons. Use standardized but not necessarily unit-normalized representations for logistic regression and linear SVM probes.</w:t>
      </w:r>
    </w:p>
    <w:p>
      <w:pPr>
        <w:pStyle w:val="BodyText"/>
      </w:pPr>
      <w:r>
        <w:rPr>
          <w:b/>
          <w:bCs/>
        </w:rPr>
        <w:t xml:space="preserve">Justification:</w:t>
      </w:r>
      <w:r>
        <w:t xml:space="preserve"> </w:t>
      </w:r>
      <w:r>
        <w:t xml:space="preserve">Sentence-BERT uses cosine similarity as a central sentence comparison mechanism, while the Linear Representation Hypothesis emphasizes that directional claims depend on the geometry/inner product used [R10][R3].</w:t>
      </w:r>
    </w:p>
    <w:bookmarkEnd w:id="33"/>
    <w:bookmarkEnd w:id="34"/>
    <w:bookmarkStart w:id="38" w:name="dataset-design"/>
    <w:p>
      <w:pPr>
        <w:pStyle w:val="Heading2"/>
      </w:pPr>
      <w:r>
        <w:t xml:space="preserve">7. Dataset design</w:t>
      </w:r>
    </w:p>
    <w:bookmarkStart w:id="35" w:name="topic-labeled-language_region-corpus"/>
    <w:p>
      <w:pPr>
        <w:pStyle w:val="Heading3"/>
      </w:pPr>
      <w:r>
        <w:t xml:space="preserve">7.1 Topic-labeled language_region corpus</w:t>
      </w:r>
    </w:p>
    <w:p>
      <w:pPr>
        <w:pStyle w:val="FirstParagraph"/>
      </w:pPr>
      <w:r>
        <w:rPr>
          <w:b/>
          <w:bCs/>
        </w:rPr>
        <w:t xml:space="preserve">Decision:</w:t>
      </w:r>
      <w:r>
        <w:t xml:space="preserve"> </w:t>
      </w:r>
      <w:r>
        <w:t xml:space="preserve">build or curate a balanced corpus with topic, language, region, language_region, source, domain, script, and length metadata.</w:t>
      </w:r>
    </w:p>
    <w:p>
      <w:pPr>
        <w:pStyle w:val="SourceCode"/>
      </w:pPr>
      <w:r>
        <w:rPr>
          <w:rStyle w:val="VerbatimChar"/>
        </w:rPr>
        <w:t xml:space="preserve">sample_id</w:t>
      </w:r>
      <w:r>
        <w:br/>
      </w:r>
      <w:r>
        <w:rPr>
          <w:rStyle w:val="VerbatimChar"/>
        </w:rPr>
        <w:t xml:space="preserve">text</w:t>
      </w:r>
      <w:r>
        <w:br/>
      </w:r>
      <w:r>
        <w:rPr>
          <w:rStyle w:val="VerbatimChar"/>
        </w:rPr>
        <w:t xml:space="preserve">topic</w:t>
      </w:r>
      <w:r>
        <w:br/>
      </w:r>
      <w:r>
        <w:rPr>
          <w:rStyle w:val="VerbatimChar"/>
        </w:rPr>
        <w:t xml:space="preserve">language</w:t>
      </w:r>
      <w:r>
        <w:br/>
      </w:r>
      <w:r>
        <w:rPr>
          <w:rStyle w:val="VerbatimChar"/>
        </w:rPr>
        <w:t xml:space="preserve">region</w:t>
      </w:r>
      <w:r>
        <w:br/>
      </w:r>
      <w:r>
        <w:rPr>
          <w:rStyle w:val="VerbatimChar"/>
        </w:rPr>
        <w:t xml:space="preserve">language_region</w:t>
      </w:r>
      <w:r>
        <w:br/>
      </w:r>
      <w:r>
        <w:rPr>
          <w:rStyle w:val="VerbatimChar"/>
        </w:rPr>
        <w:t xml:space="preserve">script</w:t>
      </w:r>
      <w:r>
        <w:br/>
      </w:r>
      <w:r>
        <w:rPr>
          <w:rStyle w:val="VerbatimChar"/>
        </w:rPr>
        <w:t xml:space="preserve">source</w:t>
      </w:r>
      <w:r>
        <w:br/>
      </w:r>
      <w:r>
        <w:rPr>
          <w:rStyle w:val="VerbatimChar"/>
        </w:rPr>
        <w:t xml:space="preserve">domain</w:t>
      </w:r>
      <w:r>
        <w:br/>
      </w:r>
      <w:r>
        <w:rPr>
          <w:rStyle w:val="VerbatimChar"/>
        </w:rPr>
        <w:t xml:space="preserve">prompt_template</w:t>
      </w:r>
      <w:r>
        <w:br/>
      </w:r>
      <w:r>
        <w:rPr>
          <w:rStyle w:val="VerbatimChar"/>
        </w:rPr>
        <w:t xml:space="preserve">token_count</w:t>
      </w:r>
      <w:r>
        <w:br/>
      </w:r>
      <w:r>
        <w:rPr>
          <w:rStyle w:val="VerbatimChar"/>
        </w:rPr>
        <w:t xml:space="preserve">translation_group_id optional</w:t>
      </w:r>
    </w:p>
    <w:p>
      <w:pPr>
        <w:pStyle w:val="FirstParagraph"/>
      </w:pPr>
      <w:r>
        <w:rPr>
          <w:b/>
          <w:bCs/>
        </w:rPr>
        <w:t xml:space="preserve">Justification:</w:t>
      </w:r>
      <w:r>
        <w:t xml:space="preserve"> </w:t>
      </w:r>
      <w:r>
        <w:t xml:space="preserve">AxBench shows that representation-based concept detection can perform very well, but concept claims require careful benchmarking. If topic is confounded with source, script, or language_region, a probe may learn the confound rather than the intended topic [R7].</w:t>
      </w:r>
    </w:p>
    <w:bookmarkEnd w:id="35"/>
    <w:bookmarkStart w:id="36" w:name="X41b06ace85a9e49e47c2d6b7e1741613582c6a2"/>
    <w:p>
      <w:pPr>
        <w:pStyle w:val="Heading3"/>
      </w:pPr>
      <w:r>
        <w:t xml:space="preserve">7.2 FLORES/FLORES+ for language and semantic decomposition</w:t>
      </w:r>
    </w:p>
    <w:p>
      <w:pPr>
        <w:pStyle w:val="FirstParagraph"/>
      </w:pPr>
      <w:r>
        <w:rPr>
          <w:b/>
          <w:bCs/>
        </w:rPr>
        <w:t xml:space="preserve">Decision:</w:t>
      </w:r>
      <w:r>
        <w:t xml:space="preserve"> </w:t>
      </w:r>
      <w:r>
        <w:t xml:space="preserve">use FLORES or FLORES+ as an aligned multilingual control dataset. FLORES should primarily be used to decompose semantic sentence identity from language, script, and region effects. Plain FLORES should not be treated as a topic-labeled corpus unless topic labels are added.</w:t>
      </w:r>
    </w:p>
    <w:p>
      <w:pPr>
        <w:pStyle w:val="BodyText"/>
      </w:pPr>
      <w:r>
        <w:rPr>
          <w:b/>
          <w:bCs/>
        </w:rPr>
        <w:t xml:space="preserve">Justification:</w:t>
      </w:r>
      <w:r>
        <w:t xml:space="preserve"> </w:t>
      </w:r>
      <w:r>
        <w:t xml:space="preserve">FLORES-101 provides professionally translated multilingual sentences for low-resource and multilingual MT evaluation, and FLORES-200 extends this multilingual coverage in the NLLB effort [R18][R19].</w:t>
      </w:r>
    </w:p>
    <w:bookmarkEnd w:id="36"/>
    <w:bookmarkStart w:id="37" w:name="Xe6e3eeb164bbc8a48c0970e821f3ce4d1526e34"/>
    <w:p>
      <w:pPr>
        <w:pStyle w:val="Heading3"/>
      </w:pPr>
      <w:r>
        <w:t xml:space="preserve">7.3 SIB-200 for topic-labeled multilingual analysis</w:t>
      </w:r>
    </w:p>
    <w:p>
      <w:pPr>
        <w:pStyle w:val="FirstParagraph"/>
      </w:pPr>
      <w:r>
        <w:rPr>
          <w:b/>
          <w:bCs/>
        </w:rPr>
        <w:t xml:space="preserve">Decision:</w:t>
      </w:r>
      <w:r>
        <w:t xml:space="preserve"> </w:t>
      </w:r>
      <w:r>
        <w:t xml:space="preserve">use SIB-200 or a similar topic-labeled multilingual benchmark when you need topic labels across many languages.</w:t>
      </w:r>
    </w:p>
    <w:p>
      <w:pPr>
        <w:pStyle w:val="BodyText"/>
      </w:pPr>
      <w:r>
        <w:rPr>
          <w:b/>
          <w:bCs/>
        </w:rPr>
        <w:t xml:space="preserve">Justification:</w:t>
      </w:r>
      <w:r>
        <w:t xml:space="preserve"> </w:t>
      </w:r>
      <w:r>
        <w:t xml:space="preserve">SIB-200 is built from FLORES-200 and supplies topic labels across 200+ languages and dialects, making it directly relevant for multilingual topic-representation analysis [R20].</w:t>
      </w:r>
    </w:p>
    <w:bookmarkEnd w:id="37"/>
    <w:bookmarkEnd w:id="38"/>
    <w:bookmarkStart w:id="39" w:name="probing-protocol"/>
    <w:p>
      <w:pPr>
        <w:pStyle w:val="Heading2"/>
      </w:pPr>
      <w:r>
        <w:t xml:space="preserve">8. Probing protocol</w:t>
      </w:r>
    </w:p>
    <w:p>
      <w:pPr>
        <w:pStyle w:val="FirstParagraph"/>
      </w:pPr>
      <w:r>
        <w:rPr>
          <w:b/>
          <w:bCs/>
        </w:rPr>
        <w:t xml:space="preserve">Decision:</w:t>
      </w:r>
      <w:r>
        <w:t xml:space="preserve"> </w:t>
      </w:r>
      <w:r>
        <w:t xml:space="preserve">start with simple linear probes and difference-in-means classifiers before using complex probes.</w:t>
      </w:r>
    </w:p>
    <w:p>
      <w:pPr>
        <w:pStyle w:val="BodyText"/>
      </w:pPr>
      <w:r>
        <w:rPr>
          <w:b/>
          <w:bCs/>
        </w:rPr>
        <w:t xml:space="preserve">Justification:</w:t>
      </w:r>
      <w:r>
        <w:t xml:space="preserve"> </w:t>
      </w:r>
      <w:r>
        <w:t xml:space="preserve">Geometry of Truth finds that mass-mean probes generalize well and appear more causally implicated than more complex alternatives in its truth setting. AxBench reports strong concept-detection performance from simple representation-based methods such as difference-in-means, while also showing that steering is more difficult than detection [R2][R7].</w:t>
      </w:r>
    </w:p>
    <w:p>
      <w:pPr>
        <w:pStyle w:val="SourceCode"/>
      </w:pPr>
      <w:r>
        <w:rPr>
          <w:rStyle w:val="VerbatimChar"/>
        </w:rPr>
        <w:t xml:space="preserve">For each model, layer, readout, and representation variant:</w:t>
      </w:r>
      <w:r>
        <w:br/>
      </w:r>
      <w:r>
        <w:rPr>
          <w:rStyle w:val="VerbatimChar"/>
        </w:rPr>
        <w:t xml:space="preserve">  train topic probe</w:t>
      </w:r>
      <w:r>
        <w:br/>
      </w:r>
      <w:r>
        <w:rPr>
          <w:rStyle w:val="VerbatimChar"/>
        </w:rPr>
        <w:t xml:space="preserve">  train language probe</w:t>
      </w:r>
      <w:r>
        <w:br/>
      </w:r>
      <w:r>
        <w:rPr>
          <w:rStyle w:val="VerbatimChar"/>
        </w:rPr>
        <w:t xml:space="preserve">  train region probe</w:t>
      </w:r>
      <w:r>
        <w:br/>
      </w:r>
      <w:r>
        <w:rPr>
          <w:rStyle w:val="VerbatimChar"/>
        </w:rPr>
        <w:t xml:space="preserve">  train language_region probe</w:t>
      </w:r>
      <w:r>
        <w:br/>
      </w:r>
      <w:r>
        <w:rPr>
          <w:rStyle w:val="VerbatimChar"/>
        </w:rPr>
        <w:t xml:space="preserve">  train script probe</w:t>
      </w:r>
      <w:r>
        <w:br/>
      </w:r>
      <w:r>
        <w:rPr>
          <w:rStyle w:val="VerbatimChar"/>
        </w:rPr>
        <w:t xml:space="preserve">  train source probe</w:t>
      </w:r>
      <w:r>
        <w:br/>
      </w:r>
      <w:r>
        <w:rPr>
          <w:rStyle w:val="VerbatimChar"/>
        </w:rPr>
        <w:t xml:space="preserve">  train token_count/length probe</w:t>
      </w:r>
      <w:r>
        <w:br/>
      </w:r>
      <w:r>
        <w:rPr>
          <w:rStyle w:val="VerbatimChar"/>
        </w:rPr>
        <w:t xml:space="preserve">  train prompt_template probe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Split</w:t>
            </w:r>
          </w:p>
        </w:tc>
        <w:tc>
          <w:tcPr/>
          <w:p>
            <w:pPr>
              <w:pStyle w:val="Compact"/>
              <w:jc w:val="left"/>
            </w:pPr>
            <w:r>
              <w:t xml:space="preserve">Purpose</w:t>
            </w:r>
          </w:p>
        </w:tc>
      </w:tr>
      <w:tr>
        <w:tc>
          <w:tcPr/>
          <w:p>
            <w:pPr>
              <w:pStyle w:val="Compact"/>
              <w:jc w:val="left"/>
            </w:pPr>
            <w:r>
              <w:t xml:space="preserve">Random split</w:t>
            </w:r>
          </w:p>
        </w:tc>
        <w:tc>
          <w:tcPr/>
          <w:p>
            <w:pPr>
              <w:pStyle w:val="Compact"/>
              <w:jc w:val="left"/>
            </w:pPr>
            <w:r>
              <w:t xml:space="preserve">Tests whether the information is decodable at all.</w:t>
            </w:r>
          </w:p>
        </w:tc>
      </w:tr>
      <w:tr>
        <w:tc>
          <w:tcPr/>
          <w:p>
            <w:pPr>
              <w:pStyle w:val="Compact"/>
              <w:jc w:val="left"/>
            </w:pPr>
            <w:r>
              <w:t xml:space="preserve">Held-out language</w:t>
            </w:r>
          </w:p>
        </w:tc>
        <w:tc>
          <w:tcPr/>
          <w:p>
            <w:pPr>
              <w:pStyle w:val="Compact"/>
              <w:jc w:val="left"/>
            </w:pPr>
            <w:r>
              <w:t xml:space="preserve">Tests whether topic directions transfer across languages.</w:t>
            </w:r>
          </w:p>
        </w:tc>
      </w:tr>
      <w:tr>
        <w:tc>
          <w:tcPr/>
          <w:p>
            <w:pPr>
              <w:pStyle w:val="Compact"/>
              <w:jc w:val="left"/>
            </w:pPr>
            <w:r>
              <w:t xml:space="preserve">Held-out region</w:t>
            </w:r>
          </w:p>
        </w:tc>
        <w:tc>
          <w:tcPr/>
          <w:p>
            <w:pPr>
              <w:pStyle w:val="Compact"/>
              <w:jc w:val="left"/>
            </w:pPr>
            <w:r>
              <w:t xml:space="preserve">Tests whether topic directions transfer across regions.</w:t>
            </w:r>
          </w:p>
        </w:tc>
      </w:tr>
      <w:tr>
        <w:tc>
          <w:tcPr/>
          <w:p>
            <w:pPr>
              <w:pStyle w:val="Compact"/>
              <w:jc w:val="left"/>
            </w:pPr>
            <w:r>
              <w:t xml:space="preserve">Held-out language_region</w:t>
            </w:r>
          </w:p>
        </w:tc>
        <w:tc>
          <w:tcPr/>
          <w:p>
            <w:pPr>
              <w:pStyle w:val="Compact"/>
              <w:jc w:val="left"/>
            </w:pPr>
            <w:r>
              <w:t xml:space="preserve">Tests the strongest group shift.</w:t>
            </w:r>
          </w:p>
        </w:tc>
      </w:tr>
      <w:tr>
        <w:tc>
          <w:tcPr/>
          <w:p>
            <w:pPr>
              <w:pStyle w:val="Compact"/>
              <w:jc w:val="left"/>
            </w:pPr>
            <w:r>
              <w:t xml:space="preserve">Held-out source/domain</w:t>
            </w:r>
          </w:p>
        </w:tc>
        <w:tc>
          <w:tcPr/>
          <w:p>
            <w:pPr>
              <w:pStyle w:val="Compact"/>
              <w:jc w:val="left"/>
            </w:pPr>
            <w:r>
              <w:t xml:space="preserve">Tests whether the result is source-independent.</w:t>
            </w:r>
          </w:p>
        </w:tc>
      </w:tr>
      <w:tr>
        <w:tc>
          <w:tcPr/>
          <w:p>
            <w:pPr>
              <w:pStyle w:val="Compact"/>
              <w:jc w:val="left"/>
            </w:pPr>
            <w:r>
              <w:t xml:space="preserve">Held-out prompt template</w:t>
            </w:r>
          </w:p>
        </w:tc>
        <w:tc>
          <w:tcPr/>
          <w:p>
            <w:pPr>
              <w:pStyle w:val="Compact"/>
              <w:jc w:val="left"/>
            </w:pPr>
            <w:r>
              <w:t xml:space="preserve">Tests whether the result is prompt-format independent.</w:t>
            </w:r>
          </w:p>
        </w:tc>
      </w:tr>
    </w:tbl>
    <w:p>
      <w:pPr>
        <w:pStyle w:val="BodyText"/>
      </w:pPr>
      <w:r>
        <w:t xml:space="preserve">Held-out-language evaluation is essential because multilingual BERT studies use zero-shot cross-lingual transfer to test whether representations generalize across languages rather than merely fitting language-specific patterns [R15].</w:t>
      </w:r>
    </w:p>
    <w:bookmarkEnd w:id="39"/>
    <w:bookmarkStart w:id="40" w:name="direction-and-vector-analysis"/>
    <w:p>
      <w:pPr>
        <w:pStyle w:val="Heading2"/>
      </w:pPr>
      <w:r>
        <w:t xml:space="preserve">9. Direction and vector analysis</w:t>
      </w:r>
    </w:p>
    <w:p>
      <w:pPr>
        <w:pStyle w:val="FirstParagraph"/>
      </w:pPr>
      <w:r>
        <w:rPr>
          <w:b/>
          <w:bCs/>
        </w:rPr>
        <w:t xml:space="preserve">Decision:</w:t>
      </w:r>
      <w:r>
        <w:t xml:space="preserve"> </w:t>
      </w:r>
      <w:r>
        <w:t xml:space="preserve">compute difference-in-means vectors first, then compare them to logistic-regression and linear-SVM normal vectors.</w:t>
      </w:r>
    </w:p>
    <w:p>
      <w:pPr>
        <w:pStyle w:val="SourceCode"/>
      </w:pPr>
      <w:r>
        <w:rPr>
          <w:rStyle w:val="NormalTok"/>
        </w:rPr>
        <w:t xml:space="preserve">v_topic_l </w:t>
      </w:r>
      <w:r>
        <w:rPr>
          <w:rStyle w:val="OperatorTok"/>
        </w:rPr>
        <w:t xml:space="preserve">=</w:t>
      </w:r>
      <w:r>
        <w:rPr>
          <w:rStyle w:val="NormalTok"/>
        </w:rPr>
        <w:t xml:space="preserve"> mean(h_l </w:t>
      </w:r>
      <w:r>
        <w:rPr>
          <w:rStyle w:val="OperatorTok"/>
        </w:rPr>
        <w:t xml:space="preserve">|</w:t>
      </w:r>
      <w:r>
        <w:rPr>
          <w:rStyle w:val="NormalTok"/>
        </w:rPr>
        <w:t xml:space="preserve"> topic</w:t>
      </w:r>
      <w:r>
        <w:rPr>
          <w:rStyle w:val="OperatorTok"/>
        </w:rPr>
        <w:t xml:space="preserve">=</w:t>
      </w:r>
      <w:r>
        <w:rPr>
          <w:rStyle w:val="NormalTok"/>
        </w:rPr>
        <w:t xml:space="preserve">t) </w:t>
      </w:r>
      <w:r>
        <w:rPr>
          <w:rStyle w:val="OperatorTok"/>
        </w:rPr>
        <w:t xml:space="preserve">-</w:t>
      </w:r>
      <w:r>
        <w:rPr>
          <w:rStyle w:val="NormalTok"/>
        </w:rPr>
        <w:t xml:space="preserve"> mean(h_l </w:t>
      </w:r>
      <w:r>
        <w:rPr>
          <w:rStyle w:val="OperatorTok"/>
        </w:rPr>
        <w:t xml:space="preserve">|</w:t>
      </w:r>
      <w:r>
        <w:rPr>
          <w:rStyle w:val="NormalTok"/>
        </w:rPr>
        <w:t xml:space="preserve"> topic</w:t>
      </w:r>
      <w:r>
        <w:rPr>
          <w:rStyle w:val="OperatorTok"/>
        </w:rPr>
        <w:t xml:space="preserve">!=</w:t>
      </w:r>
      <w:r>
        <w:rPr>
          <w:rStyle w:val="NormalTok"/>
        </w:rPr>
        <w:t xml:space="preserve">t)</w:t>
      </w:r>
      <w:r>
        <w:br/>
      </w:r>
      <w:r>
        <w:rPr>
          <w:rStyle w:val="NormalTok"/>
        </w:rPr>
        <w:t xml:space="preserve">v_topic_l_language_g </w:t>
      </w:r>
      <w:r>
        <w:rPr>
          <w:rStyle w:val="OperatorTok"/>
        </w:rPr>
        <w:t xml:space="preserve">=</w:t>
      </w:r>
      <w:r>
        <w:rPr>
          <w:rStyle w:val="NormalTok"/>
        </w:rPr>
        <w:t xml:space="preserve"> mean(h_l </w:t>
      </w:r>
      <w:r>
        <w:rPr>
          <w:rStyle w:val="OperatorTok"/>
        </w:rPr>
        <w:t xml:space="preserve">|</w:t>
      </w:r>
      <w:r>
        <w:rPr>
          <w:rStyle w:val="NormalTok"/>
        </w:rPr>
        <w:t xml:space="preserve"> topic</w:t>
      </w:r>
      <w:r>
        <w:rPr>
          <w:rStyle w:val="OperatorTok"/>
        </w:rPr>
        <w:t xml:space="preserve">=</w:t>
      </w:r>
      <w:r>
        <w:rPr>
          <w:rStyle w:val="NormalTok"/>
        </w:rPr>
        <w:t xml:space="preserve">t, language</w:t>
      </w:r>
      <w:r>
        <w:rPr>
          <w:rStyle w:val="OperatorTok"/>
        </w:rPr>
        <w:t xml:space="preserve">=</w:t>
      </w:r>
      <w:r>
        <w:rPr>
          <w:rStyle w:val="NormalTok"/>
        </w:rPr>
        <w:t xml:space="preserve">g) </w:t>
      </w:r>
      <w:r>
        <w:rPr>
          <w:rStyle w:val="OperatorTok"/>
        </w:rPr>
        <w:t xml:space="preserve">-</w:t>
      </w:r>
      <w:r>
        <w:rPr>
          <w:rStyle w:val="NormalTok"/>
        </w:rPr>
        <w:t xml:space="preserve"> mean(h_l </w:t>
      </w:r>
      <w:r>
        <w:rPr>
          <w:rStyle w:val="OperatorTok"/>
        </w:rPr>
        <w:t xml:space="preserve">|</w:t>
      </w:r>
      <w:r>
        <w:rPr>
          <w:rStyle w:val="NormalTok"/>
        </w:rPr>
        <w:t xml:space="preserve"> topic</w:t>
      </w:r>
      <w:r>
        <w:rPr>
          <w:rStyle w:val="OperatorTok"/>
        </w:rPr>
        <w:t xml:space="preserve">!=</w:t>
      </w:r>
      <w:r>
        <w:rPr>
          <w:rStyle w:val="NormalTok"/>
        </w:rPr>
        <w:t xml:space="preserve">t, language</w:t>
      </w:r>
      <w:r>
        <w:rPr>
          <w:rStyle w:val="OperatorTok"/>
        </w:rPr>
        <w:t xml:space="preserve">=</w:t>
      </w:r>
      <w:r>
        <w:rPr>
          <w:rStyle w:val="NormalTok"/>
        </w:rPr>
        <w:t xml:space="preserve">g)</w:t>
      </w:r>
      <w:r>
        <w:br/>
      </w:r>
      <w:r>
        <w:rPr>
          <w:rStyle w:val="NormalTok"/>
        </w:rPr>
        <w:t xml:space="preserve">v_language_g_l </w:t>
      </w:r>
      <w:r>
        <w:rPr>
          <w:rStyle w:val="OperatorTok"/>
        </w:rPr>
        <w:t xml:space="preserve">=</w:t>
      </w:r>
      <w:r>
        <w:rPr>
          <w:rStyle w:val="NormalTok"/>
        </w:rPr>
        <w:t xml:space="preserve"> mean(h_l </w:t>
      </w:r>
      <w:r>
        <w:rPr>
          <w:rStyle w:val="OperatorTok"/>
        </w:rPr>
        <w:t xml:space="preserve">|</w:t>
      </w:r>
      <w:r>
        <w:rPr>
          <w:rStyle w:val="NormalTok"/>
        </w:rPr>
        <w:t xml:space="preserve"> language</w:t>
      </w:r>
      <w:r>
        <w:rPr>
          <w:rStyle w:val="OperatorTok"/>
        </w:rPr>
        <w:t xml:space="preserve">=</w:t>
      </w:r>
      <w:r>
        <w:rPr>
          <w:rStyle w:val="NormalTok"/>
        </w:rPr>
        <w:t xml:space="preserve">g) </w:t>
      </w:r>
      <w:r>
        <w:rPr>
          <w:rStyle w:val="OperatorTok"/>
        </w:rPr>
        <w:t xml:space="preserve">-</w:t>
      </w:r>
      <w:r>
        <w:rPr>
          <w:rStyle w:val="NormalTok"/>
        </w:rPr>
        <w:t xml:space="preserve"> mean(h_l </w:t>
      </w:r>
      <w:r>
        <w:rPr>
          <w:rStyle w:val="OperatorTok"/>
        </w:rPr>
        <w:t xml:space="preserve">|</w:t>
      </w:r>
      <w:r>
        <w:rPr>
          <w:rStyle w:val="NormalTok"/>
        </w:rPr>
        <w:t xml:space="preserve"> language</w:t>
      </w:r>
      <w:r>
        <w:rPr>
          <w:rStyle w:val="OperatorTok"/>
        </w:rPr>
        <w:t xml:space="preserve">!=</w:t>
      </w:r>
      <w:r>
        <w:rPr>
          <w:rStyle w:val="NormalTok"/>
        </w:rPr>
        <w:t xml:space="preserve">g)</w:t>
      </w:r>
      <w:r>
        <w:br/>
      </w:r>
      <w:r>
        <w:rPr>
          <w:rStyle w:val="NormalTok"/>
        </w:rPr>
        <w:t xml:space="preserve">v_region_r_l </w:t>
      </w:r>
      <w:r>
        <w:rPr>
          <w:rStyle w:val="OperatorTok"/>
        </w:rPr>
        <w:t xml:space="preserve">=</w:t>
      </w:r>
      <w:r>
        <w:rPr>
          <w:rStyle w:val="NormalTok"/>
        </w:rPr>
        <w:t xml:space="preserve"> mean(h_l </w:t>
      </w:r>
      <w:r>
        <w:rPr>
          <w:rStyle w:val="OperatorTok"/>
        </w:rPr>
        <w:t xml:space="preserve">|</w:t>
      </w:r>
      <w:r>
        <w:rPr>
          <w:rStyle w:val="NormalTok"/>
        </w:rPr>
        <w:t xml:space="preserve"> region</w:t>
      </w:r>
      <w:r>
        <w:rPr>
          <w:rStyle w:val="OperatorTok"/>
        </w:rPr>
        <w:t xml:space="preserve">=</w:t>
      </w:r>
      <w:r>
        <w:rPr>
          <w:rStyle w:val="NormalTok"/>
        </w:rPr>
        <w:t xml:space="preserve">r) </w:t>
      </w:r>
      <w:r>
        <w:rPr>
          <w:rStyle w:val="OperatorTok"/>
        </w:rPr>
        <w:t xml:space="preserve">-</w:t>
      </w:r>
      <w:r>
        <w:rPr>
          <w:rStyle w:val="NormalTok"/>
        </w:rPr>
        <w:t xml:space="preserve"> mean(h_l </w:t>
      </w:r>
      <w:r>
        <w:rPr>
          <w:rStyle w:val="OperatorTok"/>
        </w:rPr>
        <w:t xml:space="preserve">|</w:t>
      </w:r>
      <w:r>
        <w:rPr>
          <w:rStyle w:val="NormalTok"/>
        </w:rPr>
        <w:t xml:space="preserve"> region</w:t>
      </w:r>
      <w:r>
        <w:rPr>
          <w:rStyle w:val="OperatorTok"/>
        </w:rPr>
        <w:t xml:space="preserve">!=</w:t>
      </w:r>
      <w:r>
        <w:rPr>
          <w:rStyle w:val="NormalTok"/>
        </w:rPr>
        <w:t xml:space="preserve">r)</w:t>
      </w:r>
    </w:p>
    <w:p>
      <w:pPr>
        <w:pStyle w:val="FirstParagraph"/>
      </w:pPr>
      <w:r>
        <w:rPr>
          <w:b/>
          <w:bCs/>
        </w:rPr>
        <w:t xml:space="preserve">Justification:</w:t>
      </w:r>
      <w:r>
        <w:t xml:space="preserve"> </w:t>
      </w:r>
      <w:r>
        <w:t xml:space="preserve">difference-in-means directions are central to mass-mean truth probes, contrastive steering, and concept-vector baselines. Comparing them with learned linear probe normals tests whether several simple linear methods agree about the relevant direction [R2][R5][R7][R3].</w:t>
      </w:r>
    </w:p>
    <w:p>
      <w:pPr>
        <w:pStyle w:val="SourceCode"/>
      </w:pPr>
      <w:r>
        <w:rPr>
          <w:rStyle w:val="NormalTok"/>
        </w:rPr>
        <w:t xml:space="preserve">cos(v_diffmean, v_logistic)</w:t>
      </w:r>
      <w:r>
        <w:br/>
      </w:r>
      <w:r>
        <w:rPr>
          <w:rStyle w:val="NormalTok"/>
        </w:rPr>
        <w:t xml:space="preserve">cos(v_diffmean, v_svm)</w:t>
      </w:r>
      <w:r>
        <w:br/>
      </w:r>
      <w:r>
        <w:rPr>
          <w:rStyle w:val="NormalTok"/>
        </w:rPr>
        <w:t xml:space="preserve">cos(v_logistic, v_svm)</w:t>
      </w:r>
    </w:p>
    <w:bookmarkEnd w:id="40"/>
    <w:bookmarkStart w:id="44" w:name="X0c568a31694d6e6f0fef313132a1a52a7bbf17b"/>
    <w:p>
      <w:pPr>
        <w:pStyle w:val="Heading2"/>
      </w:pPr>
      <w:r>
        <w:t xml:space="preserve">10. Cross-language, cross-region, and cross-topic analysis</w:t>
      </w:r>
    </w:p>
    <w:bookmarkStart w:id="41" w:name="cross-language-topic-alignment"/>
    <w:p>
      <w:pPr>
        <w:pStyle w:val="Heading3"/>
      </w:pPr>
      <w:r>
        <w:t xml:space="preserve">10.1 Cross-language topic alignment</w:t>
      </w:r>
    </w:p>
    <w:p>
      <w:pPr>
        <w:pStyle w:val="FirstParagraph"/>
      </w:pPr>
      <w:r>
        <w:rPr>
          <w:b/>
          <w:bCs/>
        </w:rPr>
        <w:t xml:space="preserve">Decision:</w:t>
      </w:r>
      <w:r>
        <w:t xml:space="preserve"> </w:t>
      </w:r>
      <w:r>
        <w:t xml:space="preserve">for each topic and layer, compare topic vectors across languages and evaluate held-out-language transfer.</w:t>
      </w:r>
    </w:p>
    <w:p>
      <w:pPr>
        <w:pStyle w:val="SourceCode"/>
      </w:pPr>
      <w:r>
        <w:rPr>
          <w:rStyle w:val="NormalTok"/>
        </w:rPr>
        <w:t xml:space="preserve">cos(v_topic_English, v_topic_Arabic)</w:t>
      </w:r>
      <w:r>
        <w:br/>
      </w:r>
      <w:r>
        <w:rPr>
          <w:rStyle w:val="NormalTok"/>
        </w:rPr>
        <w:t xml:space="preserve">cos(v_topic_French, v_topic_Swahili)</w:t>
      </w:r>
      <w:r>
        <w:br/>
      </w:r>
      <w:r>
        <w:rPr>
          <w:rStyle w:val="NormalTok"/>
        </w:rPr>
        <w:t xml:space="preserve">probe trained on languages A,B,C </w:t>
      </w:r>
      <w:r>
        <w:rPr>
          <w:rStyle w:val="OperatorTok"/>
        </w:rPr>
        <w:t xml:space="preserve">-&gt;</w:t>
      </w:r>
      <w:r>
        <w:rPr>
          <w:rStyle w:val="NormalTok"/>
        </w:rPr>
        <w:t xml:space="preserve"> tested on held</w:t>
      </w:r>
      <w:r>
        <w:rPr>
          <w:rStyle w:val="OperatorTok"/>
        </w:rPr>
        <w:t xml:space="preserve">-</w:t>
      </w:r>
      <w:r>
        <w:rPr>
          <w:rStyle w:val="NormalTok"/>
        </w:rPr>
        <w:t xml:space="preserve">out language D</w:t>
      </w:r>
    </w:p>
    <w:p>
      <w:pPr>
        <w:pStyle w:val="FirstParagraph"/>
      </w:pPr>
      <w:r>
        <w:rPr>
          <w:b/>
          <w:bCs/>
        </w:rPr>
        <w:t xml:space="preserve">Justification:</w:t>
      </w:r>
      <w:r>
        <w:t xml:space="preserve"> </w:t>
      </w:r>
      <w:r>
        <w:t xml:space="preserve">multilingual representation geometry work shows both shared cross-lingual structure and persistent language-sensitive directions. Therefore, topic vectors should be tested for cross-language alignment rather than assumed to be universal [R16][R15].</w:t>
      </w:r>
    </w:p>
    <w:bookmarkEnd w:id="41"/>
    <w:bookmarkStart w:id="42" w:name="region-and-language_region-analysis"/>
    <w:p>
      <w:pPr>
        <w:pStyle w:val="Heading3"/>
      </w:pPr>
      <w:r>
        <w:t xml:space="preserve">10.2 Region and language_region analysis</w:t>
      </w:r>
    </w:p>
    <w:p>
      <w:pPr>
        <w:pStyle w:val="FirstParagraph"/>
      </w:pPr>
      <w:r>
        <w:rPr>
          <w:b/>
          <w:bCs/>
        </w:rPr>
        <w:t xml:space="preserve">Decision:</w:t>
      </w:r>
      <w:r>
        <w:t xml:space="preserve"> </w:t>
      </w:r>
      <w:r>
        <w:t xml:space="preserve">explicitly separate language from region. Analyze same-language/different-region, different-language/same-region, and different-language/different-region contrasts.</w:t>
      </w:r>
    </w:p>
    <w:p>
      <w:pPr>
        <w:pStyle w:val="SourceCode"/>
      </w:pPr>
      <w:r>
        <w:rPr>
          <w:rStyle w:val="VerbatimChar"/>
        </w:rPr>
        <w:t xml:space="preserve">French_Europe vs French_Africa</w:t>
      </w:r>
      <w:r>
        <w:br/>
      </w:r>
      <w:r>
        <w:rPr>
          <w:rStyle w:val="VerbatimChar"/>
        </w:rPr>
        <w:t xml:space="preserve">Spanish_Spain vs Spanish_LatinAmerica</w:t>
      </w:r>
      <w:r>
        <w:br/>
      </w:r>
      <w:r>
        <w:rPr>
          <w:rStyle w:val="VerbatimChar"/>
        </w:rPr>
        <w:t xml:space="preserve">English_US vs English_India</w:t>
      </w:r>
      <w:r>
        <w:br/>
      </w:r>
      <w:r>
        <w:rPr>
          <w:rStyle w:val="VerbatimChar"/>
        </w:rPr>
        <w:t xml:space="preserve">Arabic_MENA vs Arabic_Diaspora</w:t>
      </w:r>
    </w:p>
    <w:p>
      <w:pPr>
        <w:pStyle w:val="FirstParagraph"/>
      </w:pPr>
      <w:r>
        <w:t xml:space="preserve">This is necessary because</w:t>
      </w:r>
      <w:r>
        <w:t xml:space="preserve"> </w:t>
      </w:r>
      <w:r>
        <w:rPr>
          <w:rStyle w:val="VerbatimChar"/>
        </w:rPr>
        <w:t xml:space="preserve">language_region</w:t>
      </w:r>
      <w:r>
        <w:t xml:space="preserve"> </w:t>
      </w:r>
      <w:r>
        <w:t xml:space="preserve">may encode sociolinguistic, dialectal, geopolitical, domain, or source-distribution effects that are not reducible to language code alone.</w:t>
      </w:r>
    </w:p>
    <w:bookmarkEnd w:id="42"/>
    <w:bookmarkStart w:id="43" w:name="cross-topic-geometry"/>
    <w:p>
      <w:pPr>
        <w:pStyle w:val="Heading3"/>
      </w:pPr>
      <w:r>
        <w:t xml:space="preserve">10.3 Cross-topic geometry</w:t>
      </w:r>
    </w:p>
    <w:p>
      <w:pPr>
        <w:pStyle w:val="FirstParagraph"/>
      </w:pPr>
      <w:r>
        <w:rPr>
          <w:b/>
          <w:bCs/>
        </w:rPr>
        <w:t xml:space="preserve">Decision:</w:t>
      </w:r>
      <w:r>
        <w:t xml:space="preserve"> </w:t>
      </w:r>
      <w:r>
        <w:t xml:space="preserve">compute topic centroid distances, topic-vector cosine matrices, and topic-probe confusion matrices per language_region and layer.</w:t>
      </w:r>
    </w:p>
    <w:p>
      <w:pPr>
        <w:pStyle w:val="SourceCode"/>
      </w:pPr>
      <w:r>
        <w:rPr>
          <w:rStyle w:val="VerbatimChar"/>
        </w:rPr>
        <w:t xml:space="preserve">topic_centroid_RDM[layer, language_region]</w:t>
      </w:r>
      <w:r>
        <w:br/>
      </w:r>
      <w:r>
        <w:rPr>
          <w:rStyle w:val="VerbatimChar"/>
        </w:rPr>
        <w:t xml:space="preserve">topic_vector_cosine_matrix[layer]</w:t>
      </w:r>
      <w:r>
        <w:br/>
      </w:r>
      <w:r>
        <w:rPr>
          <w:rStyle w:val="VerbatimChar"/>
        </w:rPr>
        <w:t xml:space="preserve">probe_confusion_matrix[layer, readout]</w:t>
      </w:r>
    </w:p>
    <w:p>
      <w:pPr>
        <w:pStyle w:val="FirstParagraph"/>
      </w:pPr>
      <w:r>
        <w:t xml:space="preserve">Interpret stable topic geometry only if it persists after language/language_region centering and across held-out source/domain splits.</w:t>
      </w:r>
    </w:p>
    <w:bookmarkEnd w:id="43"/>
    <w:bookmarkEnd w:id="44"/>
    <w:bookmarkStart w:id="45" w:name="floresflores-decomposition"/>
    <w:p>
      <w:pPr>
        <w:pStyle w:val="Heading2"/>
      </w:pPr>
      <w:r>
        <w:t xml:space="preserve">11. FLORES/FLORES+ decomposition</w:t>
      </w:r>
    </w:p>
    <w:p>
      <w:pPr>
        <w:pStyle w:val="FirstParagraph"/>
      </w:pPr>
      <w:r>
        <w:rPr>
          <w:b/>
          <w:bCs/>
        </w:rPr>
        <w:t xml:space="preserve">Decision:</w:t>
      </w:r>
      <w:r>
        <w:t xml:space="preserve"> </w:t>
      </w:r>
      <w:r>
        <w:t xml:space="preserve">use aligned sentence IDs in FLORES to estimate how much variance is explained by sentence identity, language, region, and script.</w:t>
      </w:r>
    </w:p>
    <w:p>
      <w:pPr>
        <w:pStyle w:val="SourceCode"/>
      </w:pPr>
      <w:r>
        <w:rPr>
          <w:rStyle w:val="VerbatimChar"/>
        </w:rPr>
        <w:t xml:space="preserve">h(sentence_id, language, layer) = sentence_effect + language_effect + region_effect + script_effect + residual</w:t>
      </w:r>
    </w:p>
    <w:p>
      <w:pPr>
        <w:pStyle w:val="FirstParagraph"/>
      </w:pPr>
      <w:r>
        <w:rPr>
          <w:b/>
          <w:bCs/>
        </w:rPr>
        <w:t xml:space="preserve">Justification:</w:t>
      </w:r>
      <w:r>
        <w:t xml:space="preserve"> </w:t>
      </w:r>
      <w:r>
        <w:t xml:space="preserve">FLORES provides multilingual parallel sentences, making it suitable for separating translation-equivalent semantic content from language identity. SIB-200 then adds topic labels on top of a FLORES-derived structure when topic classification is needed [R18][R19][R20].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Diagnostic</w:t>
            </w:r>
          </w:p>
        </w:tc>
        <w:tc>
          <w:tcPr/>
          <w:p>
            <w:pPr>
              <w:pStyle w:val="Compact"/>
              <w:jc w:val="left"/>
            </w:pPr>
            <w:r>
              <w:t xml:space="preserve">Meaning</w:t>
            </w:r>
          </w:p>
        </w:tc>
      </w:tr>
      <w:tr>
        <w:tc>
          <w:tcPr/>
          <w:p>
            <w:pPr>
              <w:pStyle w:val="Compact"/>
              <w:jc w:val="left"/>
            </w:pPr>
            <w:r>
              <w:t xml:space="preserve">High translation retrieval / high sentence identity</w:t>
            </w:r>
          </w:p>
        </w:tc>
        <w:tc>
          <w:tcPr/>
          <w:p>
            <w:pPr>
              <w:pStyle w:val="Compact"/>
              <w:jc w:val="left"/>
            </w:pPr>
            <w:r>
              <w:t xml:space="preserve">Layer supports language-invariant semantics.</w:t>
            </w:r>
          </w:p>
        </w:tc>
      </w:tr>
      <w:tr>
        <w:tc>
          <w:tcPr/>
          <w:p>
            <w:pPr>
              <w:pStyle w:val="Compact"/>
              <w:jc w:val="left"/>
            </w:pPr>
            <w:r>
              <w:t xml:space="preserve">High language probe accuracy</w:t>
            </w:r>
          </w:p>
        </w:tc>
        <w:tc>
          <w:tcPr/>
          <w:p>
            <w:pPr>
              <w:pStyle w:val="Compact"/>
              <w:jc w:val="left"/>
            </w:pPr>
            <w:r>
              <w:t xml:space="preserve">Layer strongly encodes language identity.</w:t>
            </w:r>
          </w:p>
        </w:tc>
      </w:tr>
      <w:tr>
        <w:tc>
          <w:tcPr/>
          <w:p>
            <w:pPr>
              <w:pStyle w:val="Compact"/>
              <w:jc w:val="left"/>
            </w:pPr>
            <w:r>
              <w:t xml:space="preserve">High script probe accuracy</w:t>
            </w:r>
          </w:p>
        </w:tc>
        <w:tc>
          <w:tcPr/>
          <w:p>
            <w:pPr>
              <w:pStyle w:val="Compact"/>
              <w:jc w:val="left"/>
            </w:pPr>
            <w:r>
              <w:t xml:space="preserve">Layer contains script/tokenization information.</w:t>
            </w:r>
          </w:p>
        </w:tc>
      </w:tr>
      <w:tr>
        <w:tc>
          <w:tcPr/>
          <w:p>
            <w:pPr>
              <w:pStyle w:val="Compact"/>
              <w:jc w:val="left"/>
            </w:pPr>
            <w:r>
              <w:t xml:space="preserve">High region accuracy after language control</w:t>
            </w:r>
          </w:p>
        </w:tc>
        <w:tc>
          <w:tcPr/>
          <w:p>
            <w:pPr>
              <w:pStyle w:val="Compact"/>
              <w:jc w:val="left"/>
            </w:pPr>
            <w:r>
              <w:t xml:space="preserve">Possible region-specific representation.</w:t>
            </w:r>
          </w:p>
        </w:tc>
      </w:tr>
      <w:tr>
        <w:tc>
          <w:tcPr/>
          <w:p>
            <w:pPr>
              <w:pStyle w:val="Compact"/>
              <w:jc w:val="left"/>
            </w:pPr>
            <w:r>
              <w:t xml:space="preserve">Topic survives language_region centering</w:t>
            </w:r>
          </w:p>
        </w:tc>
        <w:tc>
          <w:tcPr/>
          <w:p>
            <w:pPr>
              <w:pStyle w:val="Compact"/>
              <w:jc w:val="left"/>
            </w:pPr>
            <w:r>
              <w:t xml:space="preserve">Topic is not only a language_region confound.</w:t>
            </w:r>
          </w:p>
        </w:tc>
      </w:tr>
    </w:tbl>
    <w:bookmarkEnd w:id="45"/>
    <w:bookmarkStart w:id="46" w:name="representational-similarity-analysis"/>
    <w:p>
      <w:pPr>
        <w:pStyle w:val="Heading2"/>
      </w:pPr>
      <w:r>
        <w:t xml:space="preserve">12. Representational similarity analysis</w:t>
      </w:r>
    </w:p>
    <w:p>
      <w:pPr>
        <w:pStyle w:val="FirstParagraph"/>
      </w:pPr>
      <w:r>
        <w:rPr>
          <w:b/>
          <w:bCs/>
        </w:rPr>
        <w:t xml:space="preserve">Decision:</w:t>
      </w:r>
      <w:r>
        <w:t xml:space="preserve"> </w:t>
      </w:r>
      <w:r>
        <w:t xml:space="preserve">use multiple representation-similarity measures: linear CKA, SVCCA/PWCCA, Procrustes alignment, representational dissimilarity matrices, centroid cosine matrices, and subspace angles.</w:t>
      </w:r>
    </w:p>
    <w:p>
      <w:pPr>
        <w:pStyle w:val="BodyText"/>
      </w:pPr>
      <w:r>
        <w:rPr>
          <w:b/>
          <w:bCs/>
        </w:rPr>
        <w:t xml:space="preserve">Justification:</w:t>
      </w:r>
      <w:r>
        <w:t xml:space="preserve"> </w:t>
      </w:r>
      <w:r>
        <w:t xml:space="preserve">CKA was proposed to compare neural network representations and is useful for layer correspondence. SVCCA/PWCCA provides a complementary CCA-based view. Recent alignment surveys emphasize that representational similarity measures have different invariances and should not be treated as interchangeable [R22][R23][R24].</w:t>
      </w:r>
    </w:p>
    <w:p>
      <w:pPr>
        <w:pStyle w:val="SourceCode"/>
      </w:pPr>
      <w:r>
        <w:rPr>
          <w:rStyle w:val="VerbatimChar"/>
        </w:rPr>
        <w:t xml:space="preserve">For each layer:</w:t>
      </w:r>
      <w:r>
        <w:br/>
      </w:r>
      <w:r>
        <w:rPr>
          <w:rStyle w:val="VerbatimChar"/>
        </w:rPr>
        <w:t xml:space="preserve">  compute CKA across languages</w:t>
      </w:r>
      <w:r>
        <w:br/>
      </w:r>
      <w:r>
        <w:rPr>
          <w:rStyle w:val="VerbatimChar"/>
        </w:rPr>
        <w:t xml:space="preserve">  compute CKA across datasets</w:t>
      </w:r>
      <w:r>
        <w:br/>
      </w:r>
      <w:r>
        <w:rPr>
          <w:rStyle w:val="VerbatimChar"/>
        </w:rPr>
        <w:t xml:space="preserve">  compute Procrustes alignment between language subspaces</w:t>
      </w:r>
      <w:r>
        <w:br/>
      </w:r>
      <w:r>
        <w:rPr>
          <w:rStyle w:val="VerbatimChar"/>
        </w:rPr>
        <w:t xml:space="preserve">  compute topic/language/region RDMs</w:t>
      </w:r>
      <w:r>
        <w:br/>
      </w:r>
      <w:r>
        <w:rPr>
          <w:rStyle w:val="VerbatimChar"/>
        </w:rPr>
        <w:t xml:space="preserve">  correlate RDMs with metadata matrices</w:t>
      </w:r>
    </w:p>
    <w:bookmarkEnd w:id="46"/>
    <w:bookmarkStart w:id="47" w:name="steering-and-causal-validation"/>
    <w:p>
      <w:pPr>
        <w:pStyle w:val="Heading2"/>
      </w:pPr>
      <w:r>
        <w:t xml:space="preserve">13. Steering and causal validation</w:t>
      </w:r>
    </w:p>
    <w:p>
      <w:pPr>
        <w:pStyle w:val="FirstParagraph"/>
      </w:pPr>
      <w:r>
        <w:rPr>
          <w:b/>
          <w:bCs/>
        </w:rPr>
        <w:t xml:space="preserve">Decision:</w:t>
      </w:r>
      <w:r>
        <w:t xml:space="preserve"> </w:t>
      </w:r>
      <w:r>
        <w:t xml:space="preserve">only after a vector passes decodability, transfer, and geometry checks, test it with activation addition/removal in decoder-only models.</w:t>
      </w:r>
    </w:p>
    <w:p>
      <w:pPr>
        <w:pStyle w:val="BodyText"/>
      </w:pPr>
      <w:r>
        <w:rPr>
          <w:b/>
          <w:bCs/>
        </w:rPr>
        <w:t xml:space="preserve">Justification:</w:t>
      </w:r>
      <w:r>
        <w:t xml:space="preserve"> </w:t>
      </w:r>
      <w:r>
        <w:t xml:space="preserve">probing only shows decodability, not causal use. Representation Engineering frames the task as both reading and controlling internal representations. Geometry of Truth uses causal intervention evidence; Activation Addition and CAA directly add activation directions to modify generation [R1][R2][R4][R5].</w:t>
      </w:r>
    </w:p>
    <w:p>
      <w:pPr>
        <w:pStyle w:val="SourceCode"/>
      </w:pPr>
      <w:r>
        <w:rPr>
          <w:rStyle w:val="NormalTok"/>
        </w:rPr>
        <w:t xml:space="preserve">h_l </w:t>
      </w:r>
      <w:r>
        <w:rPr>
          <w:rStyle w:val="OperatorTok"/>
        </w:rPr>
        <w:t xml:space="preserve">&lt;-</w:t>
      </w:r>
      <w:r>
        <w:rPr>
          <w:rStyle w:val="NormalTok"/>
        </w:rPr>
        <w:t xml:space="preserve"> h_l </w:t>
      </w:r>
      <w:r>
        <w:rPr>
          <w:rStyle w:val="OperatorTok"/>
        </w:rPr>
        <w:t xml:space="preserve">+</w:t>
      </w:r>
      <w:r>
        <w:rPr>
          <w:rStyle w:val="NormalTok"/>
        </w:rPr>
        <w:t xml:space="preserve"> alpha </w:t>
      </w:r>
      <w:r>
        <w:rPr>
          <w:rStyle w:val="OperatorTok"/>
        </w:rPr>
        <w:t xml:space="preserve">*</w:t>
      </w:r>
      <w:r>
        <w:rPr>
          <w:rStyle w:val="NormalTok"/>
        </w:rPr>
        <w:t xml:space="preserve"> v_topic_l</w:t>
      </w:r>
      <w:r>
        <w:br/>
      </w:r>
      <w:r>
        <w:rPr>
          <w:rStyle w:val="NormalTok"/>
        </w:rPr>
        <w:t xml:space="preserve">alpha </w:t>
      </w:r>
      <w:r>
        <w:rPr>
          <w:rStyle w:val="KeywordTok"/>
        </w:rPr>
        <w:t xml:space="preserve">in</w:t>
      </w:r>
      <w:r>
        <w:rPr>
          <w:rStyle w:val="NormalTok"/>
        </w:rPr>
        <w:t xml:space="preserve"> {</w:t>
      </w:r>
      <w:r>
        <w:rPr>
          <w:rStyle w:val="OperatorTok"/>
        </w:rPr>
        <w:t xml:space="preserve">-</w:t>
      </w:r>
      <w:r>
        <w:rPr>
          <w:rStyle w:val="DecValTok"/>
        </w:rPr>
        <w:t xml:space="preserve">3</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FloatTok"/>
        </w:rPr>
        <w:t xml:space="preserve">0.5</w:t>
      </w:r>
      <w:r>
        <w:rPr>
          <w:rStyle w:val="NormalTok"/>
        </w:rPr>
        <w:t xml:space="preserve">, </w:t>
      </w:r>
      <w:r>
        <w:rPr>
          <w:rStyle w:val="FloatTok"/>
        </w:rPr>
        <w:t xml:space="preserve">0.5</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p>
    <w:p>
      <w:pPr>
        <w:pStyle w:val="FirstParagraph"/>
      </w:pPr>
      <w:r>
        <w:rPr>
          <w:b/>
          <w:bCs/>
        </w:rPr>
        <w:t xml:space="preserve">Decision:</w:t>
      </w:r>
      <w:r>
        <w:t xml:space="preserve"> </w:t>
      </w:r>
      <w:r>
        <w:t xml:space="preserve">precompute steering reliability diagnostics before interpreting a steering vector.</w:t>
      </w:r>
    </w:p>
    <w:p>
      <w:pPr>
        <w:pStyle w:val="BodyText"/>
      </w:pPr>
      <w:r>
        <w:rPr>
          <w:b/>
          <w:bCs/>
        </w:rPr>
        <w:t xml:space="preserve">Justification:</w:t>
      </w:r>
      <w:r>
        <w:t xml:space="preserve"> </w:t>
      </w:r>
      <w:r>
        <w:t xml:space="preserve">AxBench finds that good concept detection does not guarantee good steering and that prompting may outperform steering for behavioral control. Steering reliability papers show that prompt choice, position, and activation-difference geometry affect whether steering generalizes [R7][R8][R9].</w:t>
      </w:r>
    </w:p>
    <w:p>
      <w:pPr>
        <w:pStyle w:val="SourceCode"/>
      </w:pPr>
      <w:r>
        <w:rPr>
          <w:rStyle w:val="VerbatimChar"/>
        </w:rPr>
        <w:t xml:space="preserve">Reliability diagnostics:</w:t>
      </w:r>
      <w:r>
        <w:br/>
      </w:r>
      <w:r>
        <w:rPr>
          <w:rStyle w:val="VerbatimChar"/>
        </w:rPr>
        <w:t xml:space="preserve">  mean pairwise cosine among individual contrast vectors</w:t>
      </w:r>
      <w:r>
        <w:br/>
      </w:r>
      <w:r>
        <w:rPr>
          <w:rStyle w:val="VerbatimChar"/>
        </w:rPr>
        <w:t xml:space="preserve">  positive-negative centroid distance</w:t>
      </w:r>
      <w:r>
        <w:br/>
      </w:r>
      <w:r>
        <w:rPr>
          <w:rStyle w:val="VerbatimChar"/>
        </w:rPr>
        <w:t xml:space="preserve">  within-class variance</w:t>
      </w:r>
      <w:r>
        <w:br/>
      </w:r>
      <w:r>
        <w:rPr>
          <w:rStyle w:val="VerbatimChar"/>
        </w:rPr>
        <w:t xml:space="preserve">  probe margin</w:t>
      </w:r>
      <w:r>
        <w:br/>
      </w:r>
      <w:r>
        <w:rPr>
          <w:rStyle w:val="VerbatimChar"/>
        </w:rPr>
        <w:t xml:space="preserve">  cross-language vector cosine</w:t>
      </w:r>
      <w:r>
        <w:br/>
      </w:r>
      <w:r>
        <w:rPr>
          <w:rStyle w:val="VerbatimChar"/>
        </w:rPr>
        <w:t xml:space="preserve">  cross-template vector cosine</w:t>
      </w:r>
    </w:p>
    <w:bookmarkEnd w:id="47"/>
    <w:bookmarkStart w:id="48" w:name="outputs-and-reporting"/>
    <w:p>
      <w:pPr>
        <w:pStyle w:val="Heading2"/>
      </w:pPr>
      <w:r>
        <w:t xml:space="preserve">14. Outputs and reporting</w:t>
      </w:r>
    </w:p>
    <w:p>
      <w:pPr>
        <w:pStyle w:val="FirstParagraph"/>
      </w:pPr>
      <w:r>
        <w:t xml:space="preserve">The study should produce both numeric and visual artifacts:</w:t>
      </w:r>
    </w:p>
    <w:p>
      <w:pPr>
        <w:pStyle w:val="Compact"/>
        <w:numPr>
          <w:ilvl w:val="0"/>
          <w:numId w:val="1002"/>
        </w:numPr>
      </w:pPr>
      <w:r>
        <w:rPr>
          <w:rStyle w:val="VerbatimChar"/>
        </w:rPr>
        <w:t xml:space="preserve">layer_probe_scores.csv</w:t>
      </w:r>
      <w:r>
        <w:t xml:space="preserve">: macro-F1/AUROC for topic, language, region, language_region, script, source, and prompt-template probes.</w:t>
      </w:r>
    </w:p>
    <w:p>
      <w:pPr>
        <w:pStyle w:val="Compact"/>
        <w:numPr>
          <w:ilvl w:val="0"/>
          <w:numId w:val="1002"/>
        </w:numPr>
      </w:pPr>
      <w:r>
        <w:rPr>
          <w:rStyle w:val="VerbatimChar"/>
        </w:rPr>
        <w:t xml:space="preserve">transfer_scores.csv</w:t>
      </w:r>
      <w:r>
        <w:t xml:space="preserve">: held-out-language, held-out-region, held-out-language_region, source, and prompt-template transfer.</w:t>
      </w:r>
    </w:p>
    <w:p>
      <w:pPr>
        <w:pStyle w:val="Compact"/>
        <w:numPr>
          <w:ilvl w:val="0"/>
          <w:numId w:val="1002"/>
        </w:numPr>
      </w:pPr>
      <w:r>
        <w:rPr>
          <w:rStyle w:val="VerbatimChar"/>
        </w:rPr>
        <w:t xml:space="preserve">topic_vector_cosines.csv</w:t>
      </w:r>
      <w:r>
        <w:t xml:space="preserve">: cross-layer, cross-language, and cross-region vector alignment.</w:t>
      </w:r>
    </w:p>
    <w:p>
      <w:pPr>
        <w:pStyle w:val="Compact"/>
        <w:numPr>
          <w:ilvl w:val="0"/>
          <w:numId w:val="1002"/>
        </w:numPr>
      </w:pPr>
      <w:r>
        <w:rPr>
          <w:rStyle w:val="VerbatimChar"/>
        </w:rPr>
        <w:t xml:space="preserve">flores_decomposition.csv</w:t>
      </w:r>
      <w:r>
        <w:t xml:space="preserve">: variance explained by sentence identity, language, region, and script.</w:t>
      </w:r>
    </w:p>
    <w:p>
      <w:pPr>
        <w:pStyle w:val="Compact"/>
        <w:numPr>
          <w:ilvl w:val="0"/>
          <w:numId w:val="1002"/>
        </w:numPr>
      </w:pPr>
      <w:r>
        <w:rPr>
          <w:rStyle w:val="VerbatimChar"/>
        </w:rPr>
        <w:t xml:space="preserve">cka_matrices/</w:t>
      </w:r>
      <w:r>
        <w:t xml:space="preserve">: model/layer/language/dataset representation similarity matrices.</w:t>
      </w:r>
    </w:p>
    <w:p>
      <w:pPr>
        <w:pStyle w:val="Compact"/>
        <w:numPr>
          <w:ilvl w:val="0"/>
          <w:numId w:val="1002"/>
        </w:numPr>
      </w:pPr>
      <w:r>
        <w:rPr>
          <w:rStyle w:val="VerbatimChar"/>
        </w:rPr>
        <w:t xml:space="preserve">steering_results.csv</w:t>
      </w:r>
      <w:r>
        <w:t xml:space="preserve">: effect size, language preservation, topic-shift score, fluency, and side effects.</w:t>
      </w:r>
    </w:p>
    <w:p>
      <w:pPr>
        <w:pStyle w:val="Compact"/>
        <w:numPr>
          <w:ilvl w:val="0"/>
          <w:numId w:val="1002"/>
        </w:numPr>
      </w:pPr>
      <w:r>
        <w:rPr>
          <w:rStyle w:val="VerbatimChar"/>
        </w:rPr>
        <w:t xml:space="preserve">figures/</w:t>
      </w:r>
      <w:r>
        <w:t xml:space="preserve">: layer curves, centroid maps, RDM heatmaps, vector cosine heatmaps, and reliability plots.</w:t>
      </w:r>
    </w:p>
    <w:bookmarkEnd w:id="48"/>
    <w:bookmarkStart w:id="49" w:name="pre-registered-success-criteria"/>
    <w:p>
      <w:pPr>
        <w:pStyle w:val="Heading2"/>
      </w:pPr>
      <w:r>
        <w:t xml:space="preserve">15. Pre-registered success criteria</w:t>
      </w:r>
    </w:p>
    <w:p>
      <w:pPr>
        <w:pStyle w:val="FirstParagraph"/>
      </w:pPr>
      <w:r>
        <w:t xml:space="preserve">A topic/language_region direction should be treated as scientifically meaningful only if it satisfies most of the following:</w:t>
      </w:r>
    </w:p>
    <w:p>
      <w:pPr>
        <w:pStyle w:val="Compact"/>
        <w:numPr>
          <w:ilvl w:val="0"/>
          <w:numId w:val="1003"/>
        </w:numPr>
      </w:pPr>
      <w:r>
        <w:t xml:space="preserve">Decodable with a simple linear method.</w:t>
      </w:r>
    </w:p>
    <w:p>
      <w:pPr>
        <w:pStyle w:val="Compact"/>
        <w:numPr>
          <w:ilvl w:val="0"/>
          <w:numId w:val="1003"/>
        </w:numPr>
      </w:pPr>
      <w:r>
        <w:t xml:space="preserve">Persists after language/language_region/source controls.</w:t>
      </w:r>
    </w:p>
    <w:p>
      <w:pPr>
        <w:pStyle w:val="Compact"/>
        <w:numPr>
          <w:ilvl w:val="0"/>
          <w:numId w:val="1003"/>
        </w:numPr>
      </w:pPr>
      <w:r>
        <w:t xml:space="preserve">Transfers to held-out languages and held-out regions better than chance.</w:t>
      </w:r>
    </w:p>
    <w:p>
      <w:pPr>
        <w:pStyle w:val="Compact"/>
        <w:numPr>
          <w:ilvl w:val="0"/>
          <w:numId w:val="1003"/>
        </w:numPr>
      </w:pPr>
      <w:r>
        <w:t xml:space="preserve">Is stable across a nearby band of layers, not just a single cherry-picked layer.</w:t>
      </w:r>
    </w:p>
    <w:p>
      <w:pPr>
        <w:pStyle w:val="Compact"/>
        <w:numPr>
          <w:ilvl w:val="0"/>
          <w:numId w:val="1003"/>
        </w:numPr>
      </w:pPr>
      <w:r>
        <w:t xml:space="preserve">Has coherent difference vectors rather than high within-class noise.</w:t>
      </w:r>
    </w:p>
    <w:p>
      <w:pPr>
        <w:pStyle w:val="Compact"/>
        <w:numPr>
          <w:ilvl w:val="0"/>
          <w:numId w:val="1003"/>
        </w:numPr>
      </w:pPr>
      <w:r>
        <w:t xml:space="preserve">Is not explainable by script, source, length, or prompt template probes.</w:t>
      </w:r>
    </w:p>
    <w:p>
      <w:pPr>
        <w:pStyle w:val="Compact"/>
        <w:numPr>
          <w:ilvl w:val="0"/>
          <w:numId w:val="1003"/>
        </w:numPr>
      </w:pPr>
      <w:r>
        <w:t xml:space="preserve">Shows at least some causal effect under activation addition/removal, if the model is decoder-only and steering is applicable.</w:t>
      </w:r>
    </w:p>
    <w:bookmarkEnd w:id="49"/>
    <w:bookmarkStart w:id="50" w:name="final-recommended-protocol"/>
    <w:p>
      <w:pPr>
        <w:pStyle w:val="Heading2"/>
      </w:pPr>
      <w:r>
        <w:t xml:space="preserve">16. Final recommended protocol</w:t>
      </w:r>
    </w:p>
    <w:p>
      <w:pPr>
        <w:pStyle w:val="SourceCode"/>
      </w:pPr>
      <w:r>
        <w:rPr>
          <w:rStyle w:val="VerbatimChar"/>
        </w:rPr>
        <w:t xml:space="preserve">1. Select decoder-only, encoder, and sentence-embedding models.</w:t>
      </w:r>
      <w:r>
        <w:br/>
      </w:r>
      <w:r>
        <w:rPr>
          <w:rStyle w:val="VerbatimChar"/>
        </w:rPr>
        <w:t xml:space="preserve">2. Build a balanced topic-labeled language_region corpus.</w:t>
      </w:r>
      <w:r>
        <w:br/>
      </w:r>
      <w:r>
        <w:rPr>
          <w:rStyle w:val="VerbatimChar"/>
        </w:rPr>
        <w:t xml:space="preserve">3. Add FLORES/FLORES+ for language-semantic decomposition.</w:t>
      </w:r>
      <w:r>
        <w:br/>
      </w:r>
      <w:r>
        <w:rPr>
          <w:rStyle w:val="VerbatimChar"/>
        </w:rPr>
        <w:t xml:space="preserve">4. Add SIB-200 when broad multilingual topic labels are needed.</w:t>
      </w:r>
      <w:r>
        <w:br/>
      </w:r>
      <w:r>
        <w:rPr>
          <w:rStyle w:val="VerbatimChar"/>
        </w:rPr>
        <w:t xml:space="preserve">5. Extract every layer: embeddings, mean content-token hidden state, and last content-token hidden state.</w:t>
      </w:r>
      <w:r>
        <w:br/>
      </w:r>
      <w:r>
        <w:rPr>
          <w:rStyle w:val="VerbatimChar"/>
        </w:rPr>
        <w:t xml:space="preserve">6. Normalize per model/layer/readout using train-set statistics.</w:t>
      </w:r>
      <w:r>
        <w:br/>
      </w:r>
      <w:r>
        <w:rPr>
          <w:rStyle w:val="VerbatimChar"/>
        </w:rPr>
        <w:t xml:space="preserve">7. Create raw, language-centered, language_region-centered, topic-centered, and source-centered representations.</w:t>
      </w:r>
      <w:r>
        <w:br/>
      </w:r>
      <w:r>
        <w:rPr>
          <w:rStyle w:val="VerbatimChar"/>
        </w:rPr>
        <w:t xml:space="preserve">8. Run linear probes for topic, language, region, language_region, script, source, length, and prompt template.</w:t>
      </w:r>
      <w:r>
        <w:br/>
      </w:r>
      <w:r>
        <w:rPr>
          <w:rStyle w:val="VerbatimChar"/>
        </w:rPr>
        <w:t xml:space="preserve">9. Use random, held-out-language, held-out-region, held-out-language_region, held-out-source, and held-out-prompt splits.</w:t>
      </w:r>
      <w:r>
        <w:br/>
      </w:r>
      <w:r>
        <w:rPr>
          <w:rStyle w:val="VerbatimChar"/>
        </w:rPr>
        <w:t xml:space="preserve">10. Compute difference-in-means vectors and compare to logistic/SVM normals.</w:t>
      </w:r>
      <w:r>
        <w:br/>
      </w:r>
      <w:r>
        <w:rPr>
          <w:rStyle w:val="VerbatimChar"/>
        </w:rPr>
        <w:t xml:space="preserve">11. Compare vectors across layers, topics, languages, regions, and datasets.</w:t>
      </w:r>
      <w:r>
        <w:br/>
      </w:r>
      <w:r>
        <w:rPr>
          <w:rStyle w:val="VerbatimChar"/>
        </w:rPr>
        <w:t xml:space="preserve">12. Use FLORES to estimate sentence identity, language, region, and script effects.</w:t>
      </w:r>
      <w:r>
        <w:br/>
      </w:r>
      <w:r>
        <w:rPr>
          <w:rStyle w:val="VerbatimChar"/>
        </w:rPr>
        <w:t xml:space="preserve">13. Use CKA, SVCCA/PWCCA, Procrustes, RDMs, and centroid cosine matrices.</w:t>
      </w:r>
      <w:r>
        <w:br/>
      </w:r>
      <w:r>
        <w:rPr>
          <w:rStyle w:val="VerbatimChar"/>
        </w:rPr>
        <w:t xml:space="preserve">14. Select candidate directions only if they are transferable, coherent, and not confounded.</w:t>
      </w:r>
      <w:r>
        <w:br/>
      </w:r>
      <w:r>
        <w:rPr>
          <w:rStyle w:val="VerbatimChar"/>
        </w:rPr>
        <w:t xml:space="preserve">15. Validate important directions with activation addition/removal steering.</w:t>
      </w:r>
      <w:r>
        <w:br/>
      </w:r>
      <w:r>
        <w:rPr>
          <w:rStyle w:val="VerbatimChar"/>
        </w:rPr>
        <w:t xml:space="preserve">16. Report negative results: where topic is confounded, where steering fails, and where vectors are language-specific.</w:t>
      </w:r>
    </w:p>
    <w:bookmarkEnd w:id="50"/>
    <w:bookmarkStart w:id="51" w:name="interpretation-template"/>
    <w:p>
      <w:pPr>
        <w:pStyle w:val="Heading2"/>
      </w:pPr>
      <w:r>
        <w:t xml:space="preserve">17. Interpretation template</w:t>
      </w:r>
    </w:p>
    <w:p>
      <w:pPr>
        <w:pStyle w:val="FirstParagraph"/>
      </w:pPr>
      <w:r>
        <w:t xml:space="preserve">The strongest defensible conclusion will probably not be</w:t>
      </w:r>
      <w:r>
        <w:t xml:space="preserve"> </w:t>
      </w:r>
      <w:r>
        <w:t xml:space="preserve">“</w:t>
      </w:r>
      <w:r>
        <w:t xml:space="preserve">topic is represented in layer X.</w:t>
      </w:r>
      <w:r>
        <w:t xml:space="preserve">”</w:t>
      </w:r>
      <w:r>
        <w:t xml:space="preserve"> </w:t>
      </w:r>
      <w:r>
        <w:t xml:space="preserve">A stronger conclusion is:</w:t>
      </w:r>
    </w:p>
    <w:p>
      <w:pPr>
        <w:pStyle w:val="BlockText"/>
      </w:pPr>
      <w:r>
        <w:t xml:space="preserve">Topic representations are distributed across depth, partially linear, partially language-conditioned, and most transferable after controlling for language/language_region centroids. Only directions that generalize across held-out languages and regions, remain robust after confound controls, and show causal effects under intervention should be treated as candidate steering directions.</w:t>
      </w:r>
    </w:p>
    <w:bookmarkEnd w:id="51"/>
    <w:bookmarkStart w:id="52" w:name="references"/>
    <w:p>
      <w:pPr>
        <w:pStyle w:val="Heading2"/>
      </w:pPr>
      <w:r>
        <w:t xml:space="preserve">References</w:t>
      </w:r>
    </w:p>
    <w:p>
      <w:pPr>
        <w:pStyle w:val="FirstParagraph"/>
      </w:pPr>
      <w:r>
        <w:t xml:space="preserve">[R1] Zou et al. (2023),</w:t>
      </w:r>
      <w:r>
        <w:t xml:space="preserve"> </w:t>
      </w:r>
      <w:r>
        <w:rPr>
          <w:i/>
          <w:iCs/>
        </w:rPr>
        <w:t xml:space="preserve">Representation Engineering: A Top-Down Approach to AI Transparency</w:t>
      </w:r>
      <w:r>
        <w:t xml:space="preserve">. https://arxiv.org/abs/2310.01405</w:t>
      </w:r>
    </w:p>
    <w:p>
      <w:pPr>
        <w:pStyle w:val="BodyText"/>
      </w:pPr>
      <w:r>
        <w:t xml:space="preserve">[R2] Marks &amp; Tegmark (2023/2024),</w:t>
      </w:r>
      <w:r>
        <w:t xml:space="preserve"> </w:t>
      </w:r>
      <w:r>
        <w:rPr>
          <w:i/>
          <w:iCs/>
        </w:rPr>
        <w:t xml:space="preserve">The Geometry of Truth: Emergent Linear Structure in Large Language Model Representations of True/False Datasets</w:t>
      </w:r>
      <w:r>
        <w:t xml:space="preserve">. https://arxiv.org/abs/2310.06824</w:t>
      </w:r>
    </w:p>
    <w:p>
      <w:pPr>
        <w:pStyle w:val="BodyText"/>
      </w:pPr>
      <w:r>
        <w:t xml:space="preserve">[R3] Park et al. (2023),</w:t>
      </w:r>
      <w:r>
        <w:t xml:space="preserve"> </w:t>
      </w:r>
      <w:r>
        <w:rPr>
          <w:i/>
          <w:iCs/>
        </w:rPr>
        <w:t xml:space="preserve">The Linear Representation Hypothesis and the Geometry of Large Language Models</w:t>
      </w:r>
      <w:r>
        <w:t xml:space="preserve">. https://arxiv.org/abs/2311.03658</w:t>
      </w:r>
    </w:p>
    <w:p>
      <w:pPr>
        <w:pStyle w:val="BodyText"/>
      </w:pPr>
      <w:r>
        <w:t xml:space="preserve">[R4] Turner et al. (2023),</w:t>
      </w:r>
      <w:r>
        <w:t xml:space="preserve"> </w:t>
      </w:r>
      <w:r>
        <w:rPr>
          <w:i/>
          <w:iCs/>
        </w:rPr>
        <w:t xml:space="preserve">Activation Addition: Steering Language Models Without Optimization</w:t>
      </w:r>
      <w:r>
        <w:t xml:space="preserve">. https://arxiv.org/abs/2308.10248</w:t>
      </w:r>
    </w:p>
    <w:p>
      <w:pPr>
        <w:pStyle w:val="BodyText"/>
      </w:pPr>
      <w:r>
        <w:t xml:space="preserve">[R5] Rimsky et al. (2023),</w:t>
      </w:r>
      <w:r>
        <w:t xml:space="preserve"> </w:t>
      </w:r>
      <w:r>
        <w:rPr>
          <w:i/>
          <w:iCs/>
        </w:rPr>
        <w:t xml:space="preserve">Steering Llama 2 via Contrastive Activation Addition</w:t>
      </w:r>
      <w:r>
        <w:t xml:space="preserve">. https://arxiv.org/abs/2312.06681</w:t>
      </w:r>
    </w:p>
    <w:p>
      <w:pPr>
        <w:pStyle w:val="BodyText"/>
      </w:pPr>
      <w:r>
        <w:t xml:space="preserve">[R6] Jorgensen et al. (2023),</w:t>
      </w:r>
      <w:r>
        <w:t xml:space="preserve"> </w:t>
      </w:r>
      <w:r>
        <w:rPr>
          <w:i/>
          <w:iCs/>
        </w:rPr>
        <w:t xml:space="preserve">Improving Activation Steering in Language Models with Mean-Centring</w:t>
      </w:r>
      <w:r>
        <w:t xml:space="preserve">. https://arxiv.org/abs/2312.03813</w:t>
      </w:r>
    </w:p>
    <w:p>
      <w:pPr>
        <w:pStyle w:val="BodyText"/>
      </w:pPr>
      <w:r>
        <w:t xml:space="preserve">[R7] Wu et al. (2025),</w:t>
      </w:r>
      <w:r>
        <w:t xml:space="preserve"> </w:t>
      </w:r>
      <w:r>
        <w:rPr>
          <w:i/>
          <w:iCs/>
        </w:rPr>
        <w:t xml:space="preserve">AxBench: Steering LLMs? Even Simple Baselines Outperform Sparse Autoencoders</w:t>
      </w:r>
      <w:r>
        <w:t xml:space="preserve">. https://arxiv.org/abs/2501.17148</w:t>
      </w:r>
    </w:p>
    <w:p>
      <w:pPr>
        <w:pStyle w:val="BodyText"/>
      </w:pPr>
      <w:r>
        <w:t xml:space="preserve">[R8] Braun et al. (2025),</w:t>
      </w:r>
      <w:r>
        <w:t xml:space="preserve"> </w:t>
      </w:r>
      <w:r>
        <w:rPr>
          <w:i/>
          <w:iCs/>
        </w:rPr>
        <w:t xml:space="preserve">Understanding the (Un)reliability of Steering Vectors in Language Models</w:t>
      </w:r>
      <w:r>
        <w:t xml:space="preserve">. https://arxiv.org/abs/2505.22637</w:t>
      </w:r>
    </w:p>
    <w:p>
      <w:pPr>
        <w:pStyle w:val="BodyText"/>
      </w:pPr>
      <w:r>
        <w:t xml:space="preserve">[R9] Tan et al. (2025),</w:t>
      </w:r>
      <w:r>
        <w:t xml:space="preserve"> </w:t>
      </w:r>
      <w:r>
        <w:rPr>
          <w:i/>
          <w:iCs/>
        </w:rPr>
        <w:t xml:space="preserve">Analysing the Generalisation and Reliability of Steering Vectors</w:t>
      </w:r>
      <w:r>
        <w:t xml:space="preserve">. https://discovery.ucl.ac.uk/id/eprint/10205543/</w:t>
      </w:r>
    </w:p>
    <w:p>
      <w:pPr>
        <w:pStyle w:val="BodyText"/>
      </w:pPr>
      <w:r>
        <w:t xml:space="preserve">[R10] Reimers &amp; Gurevych (2019),</w:t>
      </w:r>
      <w:r>
        <w:t xml:space="preserve"> </w:t>
      </w:r>
      <w:r>
        <w:rPr>
          <w:i/>
          <w:iCs/>
        </w:rPr>
        <w:t xml:space="preserve">Sentence-BERT: Sentence Embeddings using Siamese BERT-Networks</w:t>
      </w:r>
      <w:r>
        <w:t xml:space="preserve">. https://aclanthology.org/D19-1410/</w:t>
      </w:r>
    </w:p>
    <w:p>
      <w:pPr>
        <w:pStyle w:val="BodyText"/>
      </w:pPr>
      <w:r>
        <w:t xml:space="preserve">[R11] Ethayarajh (2019),</w:t>
      </w:r>
      <w:r>
        <w:t xml:space="preserve"> </w:t>
      </w:r>
      <w:r>
        <w:rPr>
          <w:i/>
          <w:iCs/>
        </w:rPr>
        <w:t xml:space="preserve">How Contextual are Contextualized Word Representations?</w:t>
      </w:r>
      <w:r>
        <w:t xml:space="preserve"> </w:t>
      </w:r>
      <w:r>
        <w:t xml:space="preserve">https://aclanthology.org/D19-1006/</w:t>
      </w:r>
    </w:p>
    <w:p>
      <w:pPr>
        <w:pStyle w:val="BodyText"/>
      </w:pPr>
      <w:r>
        <w:t xml:space="preserve">[R12] Tenney et al. (2019),</w:t>
      </w:r>
      <w:r>
        <w:t xml:space="preserve"> </w:t>
      </w:r>
      <w:r>
        <w:rPr>
          <w:i/>
          <w:iCs/>
        </w:rPr>
        <w:t xml:space="preserve">BERT Rediscovers the Classical NLP Pipeline</w:t>
      </w:r>
      <w:r>
        <w:t xml:space="preserve">. https://aclanthology.org/P19-1452/</w:t>
      </w:r>
    </w:p>
    <w:p>
      <w:pPr>
        <w:pStyle w:val="BodyText"/>
      </w:pPr>
      <w:r>
        <w:t xml:space="preserve">[R13] Rogers et al. (2020),</w:t>
      </w:r>
      <w:r>
        <w:t xml:space="preserve"> </w:t>
      </w:r>
      <w:r>
        <w:rPr>
          <w:i/>
          <w:iCs/>
        </w:rPr>
        <w:t xml:space="preserve">A Primer in BERTology: What We Know About How BERT Works</w:t>
      </w:r>
      <w:r>
        <w:t xml:space="preserve">. https://aclanthology.org/2020.tacl-1.54/</w:t>
      </w:r>
    </w:p>
    <w:p>
      <w:pPr>
        <w:pStyle w:val="BodyText"/>
      </w:pPr>
      <w:r>
        <w:t xml:space="preserve">[R14] Clark et al. (2019),</w:t>
      </w:r>
      <w:r>
        <w:t xml:space="preserve"> </w:t>
      </w:r>
      <w:r>
        <w:rPr>
          <w:i/>
          <w:iCs/>
        </w:rPr>
        <w:t xml:space="preserve">What Does BERT Look at? An Analysis of BERT’s Attention</w:t>
      </w:r>
      <w:r>
        <w:t xml:space="preserve">. https://arxiv.org/abs/1906.04341</w:t>
      </w:r>
    </w:p>
    <w:p>
      <w:pPr>
        <w:pStyle w:val="BodyText"/>
      </w:pPr>
      <w:r>
        <w:t xml:space="preserve">[R15] Pires et al. (2019),</w:t>
      </w:r>
      <w:r>
        <w:t xml:space="preserve"> </w:t>
      </w:r>
      <w:r>
        <w:rPr>
          <w:i/>
          <w:iCs/>
        </w:rPr>
        <w:t xml:space="preserve">How Multilingual is Multilingual BERT?</w:t>
      </w:r>
      <w:r>
        <w:t xml:space="preserve"> </w:t>
      </w:r>
      <w:r>
        <w:t xml:space="preserve">https://aclanthology.org/P19-1493/</w:t>
      </w:r>
    </w:p>
    <w:p>
      <w:pPr>
        <w:pStyle w:val="BodyText"/>
      </w:pPr>
      <w:r>
        <w:t xml:space="preserve">[R16] Chang et al. (2022),</w:t>
      </w:r>
      <w:r>
        <w:t xml:space="preserve"> </w:t>
      </w:r>
      <w:r>
        <w:rPr>
          <w:i/>
          <w:iCs/>
        </w:rPr>
        <w:t xml:space="preserve">Geometry of Multilingual Language Model Representations</w:t>
      </w:r>
      <w:r>
        <w:t xml:space="preserve">. https://aclanthology.org/2022.emnlp-main.9/</w:t>
      </w:r>
    </w:p>
    <w:p>
      <w:pPr>
        <w:pStyle w:val="BodyText"/>
      </w:pPr>
      <w:r>
        <w:t xml:space="preserve">[R17] Libovicky et al. (2019),</w:t>
      </w:r>
      <w:r>
        <w:t xml:space="preserve"> </w:t>
      </w:r>
      <w:r>
        <w:rPr>
          <w:i/>
          <w:iCs/>
        </w:rPr>
        <w:t xml:space="preserve">Language-neutral Representation in Multilingual BERT</w:t>
      </w:r>
      <w:r>
        <w:t xml:space="preserve">. https://arxiv.org/abs/1911.03310</w:t>
      </w:r>
    </w:p>
    <w:p>
      <w:pPr>
        <w:pStyle w:val="BodyText"/>
      </w:pPr>
      <w:r>
        <w:t xml:space="preserve">[R18] Goyal et al. (2022),</w:t>
      </w:r>
      <w:r>
        <w:t xml:space="preserve"> </w:t>
      </w:r>
      <w:r>
        <w:rPr>
          <w:i/>
          <w:iCs/>
        </w:rPr>
        <w:t xml:space="preserve">The FLORES-101 Evaluation Benchmark for Low-Resource and Multilingual Machine Translation</w:t>
      </w:r>
      <w:r>
        <w:t xml:space="preserve">. https://aclanthology.org/2022.tacl-1.30/</w:t>
      </w:r>
    </w:p>
    <w:p>
      <w:pPr>
        <w:pStyle w:val="BodyText"/>
      </w:pPr>
      <w:r>
        <w:t xml:space="preserve">[R19] NLLB Team / Meta AI (2022),</w:t>
      </w:r>
      <w:r>
        <w:t xml:space="preserve"> </w:t>
      </w:r>
      <w:r>
        <w:rPr>
          <w:i/>
          <w:iCs/>
        </w:rPr>
        <w:t xml:space="preserve">No Language Left Behind / FLORES-200</w:t>
      </w:r>
      <w:r>
        <w:t xml:space="preserve">. https://ai.meta.com/research/no-language-left-behind/</w:t>
      </w:r>
    </w:p>
    <w:p>
      <w:pPr>
        <w:pStyle w:val="BodyText"/>
      </w:pPr>
      <w:r>
        <w:t xml:space="preserve">[R20] Adelani et al. / SIB-200 (2023),</w:t>
      </w:r>
      <w:r>
        <w:t xml:space="preserve"> </w:t>
      </w:r>
      <w:r>
        <w:rPr>
          <w:i/>
          <w:iCs/>
        </w:rPr>
        <w:t xml:space="preserve">A Simple, Inclusive, and Big Evaluation Dataset for Topic Classification in 200+ Languages and Dialects</w:t>
      </w:r>
      <w:r>
        <w:t xml:space="preserve">. https://arxiv.org/abs/2309.07445</w:t>
      </w:r>
    </w:p>
    <w:p>
      <w:pPr>
        <w:pStyle w:val="BodyText"/>
      </w:pPr>
      <w:r>
        <w:t xml:space="preserve">[R21] Feng et al. (2020),</w:t>
      </w:r>
      <w:r>
        <w:t xml:space="preserve"> </w:t>
      </w:r>
      <w:r>
        <w:rPr>
          <w:i/>
          <w:iCs/>
        </w:rPr>
        <w:t xml:space="preserve">Language-agnostic BERT Sentence Embedding / LaBSE</w:t>
      </w:r>
      <w:r>
        <w:t xml:space="preserve">. https://arxiv.org/abs/2007.01852</w:t>
      </w:r>
    </w:p>
    <w:p>
      <w:pPr>
        <w:pStyle w:val="BodyText"/>
      </w:pPr>
      <w:r>
        <w:t xml:space="preserve">[R22] Kornblith et al. (2019),</w:t>
      </w:r>
      <w:r>
        <w:t xml:space="preserve"> </w:t>
      </w:r>
      <w:r>
        <w:rPr>
          <w:i/>
          <w:iCs/>
        </w:rPr>
        <w:t xml:space="preserve">Similarity of Neural Network Representations Revisited</w:t>
      </w:r>
      <w:r>
        <w:t xml:space="preserve">. https://proceedings.mlr.press/v97/kornblith19a.html</w:t>
      </w:r>
    </w:p>
    <w:p>
      <w:pPr>
        <w:pStyle w:val="BodyText"/>
      </w:pPr>
      <w:r>
        <w:t xml:space="preserve">[R23] Morcos et al. (2018),</w:t>
      </w:r>
      <w:r>
        <w:t xml:space="preserve"> </w:t>
      </w:r>
      <w:r>
        <w:rPr>
          <w:i/>
          <w:iCs/>
        </w:rPr>
        <w:t xml:space="preserve">Insights on Representational Similarity in Neural Networks with Canonical Correlation</w:t>
      </w:r>
      <w:r>
        <w:t xml:space="preserve">. https://arxiv.org/abs/1806.05759</w:t>
      </w:r>
    </w:p>
    <w:p>
      <w:pPr>
        <w:pStyle w:val="BodyText"/>
      </w:pPr>
      <w:r>
        <w:t xml:space="preserve">[R24] Sucholutsky et al. (2023),</w:t>
      </w:r>
      <w:r>
        <w:t xml:space="preserve"> </w:t>
      </w:r>
      <w:r>
        <w:rPr>
          <w:i/>
          <w:iCs/>
        </w:rPr>
        <w:t xml:space="preserve">Getting Aligned on Representational Alignment</w:t>
      </w:r>
      <w:r>
        <w:t xml:space="preserve">. https://arxiv.org/abs/2305.06329</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2026-06-26T18:11:30Z</dcterms:created>
  <dcterms:modified xsi:type="dcterms:W3CDTF">2026-06-26T18:11:30Z</dcterms:modified>
</cp:coreProperties>
</file>

<file path=docProps/custom.xml><?xml version="1.0" encoding="utf-8"?>
<Properties xmlns="http://schemas.openxmlformats.org/officeDocument/2006/custom-properties" xmlns:vt="http://schemas.openxmlformats.org/officeDocument/2006/docPropsVTypes"/>
</file>