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DB97" w14:textId="77777777" w:rsidR="008A06AC" w:rsidRDefault="00000000">
      <w:pPr>
        <w:spacing w:before="480" w:after="80"/>
        <w:jc w:val="center"/>
      </w:pPr>
      <w:r>
        <w:rPr>
          <w:b/>
          <w:bCs/>
          <w:color w:val="1F4E79"/>
          <w:sz w:val="52"/>
          <w:szCs w:val="52"/>
        </w:rPr>
        <w:t>NSE Risk Desk</w:t>
      </w:r>
    </w:p>
    <w:p w14:paraId="45151130" w14:textId="77777777" w:rsidR="008A06AC" w:rsidRDefault="00000000">
      <w:pPr>
        <w:spacing w:after="80"/>
        <w:jc w:val="center"/>
      </w:pPr>
      <w:r>
        <w:rPr>
          <w:color w:val="2E75B6"/>
          <w:sz w:val="32"/>
          <w:szCs w:val="32"/>
        </w:rPr>
        <w:t>Market Risk Methodology Report</w:t>
      </w:r>
    </w:p>
    <w:p w14:paraId="54413667" w14:textId="77777777" w:rsidR="008A06AC" w:rsidRDefault="00000000">
      <w:pPr>
        <w:pBdr>
          <w:bottom w:val="single" w:sz="8" w:space="8" w:color="2E75B6"/>
        </w:pBdr>
        <w:spacing w:after="320"/>
        <w:jc w:val="center"/>
      </w:pPr>
      <w:r>
        <w:rPr>
          <w:i/>
          <w:iCs/>
          <w:color w:val="595959"/>
        </w:rPr>
        <w:t>5-Stock NSE Equity Portfolio  |  2018–2024  |  99% Confidence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06AC" w14:paraId="537BF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D0F0B2" w14:textId="77777777" w:rsidR="008A06AC" w:rsidRDefault="00000000">
            <w:r>
              <w:rPr>
                <w:b/>
                <w:bCs/>
                <w:color w:val="1F4E79"/>
                <w:sz w:val="20"/>
                <w:szCs w:val="20"/>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D05B" w14:textId="77777777" w:rsidR="008A06AC" w:rsidRDefault="00000000">
            <w:r>
              <w:rPr>
                <w:sz w:val="20"/>
                <w:szCs w:val="20"/>
              </w:rPr>
              <w:t>Yusuf Sayeed</w:t>
            </w:r>
          </w:p>
        </w:tc>
      </w:tr>
      <w:tr w:rsidR="008A06AC" w14:paraId="2FC77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E2C970" w14:textId="77777777" w:rsidR="008A06AC" w:rsidRDefault="00000000">
            <w:r>
              <w:rPr>
                <w:b/>
                <w:bCs/>
                <w:color w:val="1F4E79"/>
                <w:sz w:val="20"/>
                <w:szCs w:val="20"/>
              </w:rPr>
              <w:t>Institution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6AA12" w14:textId="77777777" w:rsidR="008A06AC" w:rsidRDefault="00000000">
            <w:r>
              <w:rPr>
                <w:sz w:val="20"/>
                <w:szCs w:val="20"/>
              </w:rPr>
              <w:t>Jamia Millia Islamia, New Delhi</w:t>
            </w:r>
          </w:p>
        </w:tc>
      </w:tr>
      <w:tr w:rsidR="008A06AC" w14:paraId="7A36FF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9FD128" w14:textId="77777777" w:rsidR="008A06AC" w:rsidRDefault="00000000">
            <w:r>
              <w:rPr>
                <w:b/>
                <w:bCs/>
                <w:color w:val="1F4E79"/>
                <w:sz w:val="20"/>
                <w:szCs w:val="20"/>
              </w:rPr>
              <w:t>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7A022" w14:textId="77777777" w:rsidR="008A06AC" w:rsidRDefault="00000000">
            <w:r>
              <w:rPr>
                <w:sz w:val="20"/>
                <w:szCs w:val="20"/>
              </w:rPr>
              <w:t>FRM Part I (Q1 Ranking) | FMVA</w:t>
            </w:r>
          </w:p>
        </w:tc>
      </w:tr>
      <w:tr w:rsidR="008A06AC" w14:paraId="51538B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F313CE" w14:textId="77777777" w:rsidR="008A06AC" w:rsidRDefault="00000000">
            <w:r>
              <w:rPr>
                <w:b/>
                <w:bCs/>
                <w:color w:val="1F4E79"/>
                <w:sz w:val="20"/>
                <w:szCs w:val="20"/>
              </w:rPr>
              <w:t>Portfolio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B99AE" w14:textId="77777777" w:rsidR="008A06AC" w:rsidRDefault="00000000">
            <w:r>
              <w:rPr>
                <w:sz w:val="20"/>
                <w:szCs w:val="20"/>
              </w:rPr>
              <w:t>Reliance Industries, TCS, HDFC Bank, Infosys, ITC</w:t>
            </w:r>
          </w:p>
        </w:tc>
      </w:tr>
      <w:tr w:rsidR="008A06AC" w14:paraId="272CF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298D75" w14:textId="77777777" w:rsidR="008A06AC" w:rsidRDefault="00000000">
            <w:r>
              <w:rPr>
                <w:b/>
                <w:bCs/>
                <w:color w:val="1F4E79"/>
                <w:sz w:val="20"/>
                <w:szCs w:val="20"/>
              </w:rPr>
              <w:t>Weights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471C3" w14:textId="77777777" w:rsidR="008A06AC" w:rsidRDefault="00000000">
            <w:r>
              <w:rPr>
                <w:sz w:val="20"/>
                <w:szCs w:val="20"/>
              </w:rPr>
              <w:t>Equal-weight (20% each)</w:t>
            </w:r>
          </w:p>
        </w:tc>
      </w:tr>
      <w:tr w:rsidR="008A06AC" w14:paraId="5F049F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42EBA7" w14:textId="77777777" w:rsidR="008A06AC" w:rsidRDefault="00000000">
            <w:r>
              <w:rPr>
                <w:b/>
                <w:bCs/>
                <w:color w:val="1F4E79"/>
                <w:sz w:val="20"/>
                <w:szCs w:val="20"/>
              </w:rPr>
              <w:t>Data Period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23C9" w14:textId="36E51BF0" w:rsidR="008A06AC" w:rsidRDefault="00000000">
            <w:r>
              <w:rPr>
                <w:sz w:val="20"/>
                <w:szCs w:val="20"/>
              </w:rPr>
              <w:t xml:space="preserve">1 January 2018 </w:t>
            </w:r>
            <w:r w:rsidR="00A65226">
              <w:rPr>
                <w:sz w:val="20"/>
                <w:szCs w:val="20"/>
              </w:rPr>
              <w:t>-</w:t>
            </w:r>
            <w:r>
              <w:rPr>
                <w:sz w:val="20"/>
                <w:szCs w:val="20"/>
              </w:rPr>
              <w:t xml:space="preserve"> 31 December 2024 (~1,726 trading days)</w:t>
            </w:r>
          </w:p>
        </w:tc>
      </w:tr>
      <w:tr w:rsidR="008A06AC" w14:paraId="16562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716F67" w14:textId="77777777" w:rsidR="008A06AC" w:rsidRDefault="00000000">
            <w:r>
              <w:rPr>
                <w:b/>
                <w:bCs/>
                <w:color w:val="1F4E79"/>
                <w:sz w:val="20"/>
                <w:szCs w:val="20"/>
              </w:rPr>
              <w:t>Confidence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B9669" w14:textId="77777777" w:rsidR="008A06AC" w:rsidRDefault="00000000">
            <w:r>
              <w:rPr>
                <w:sz w:val="20"/>
                <w:szCs w:val="20"/>
              </w:rPr>
              <w:t>99% (VaR &amp; ES) | 97.5% ES per FRTB</w:t>
            </w:r>
          </w:p>
        </w:tc>
      </w:tr>
      <w:tr w:rsidR="008A06AC" w14:paraId="63ABCF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8B33A" w14:textId="77777777" w:rsidR="008A06AC" w:rsidRDefault="00000000">
            <w:r>
              <w:rPr>
                <w:b/>
                <w:bCs/>
                <w:color w:val="1F4E79"/>
                <w:sz w:val="20"/>
                <w:szCs w:val="20"/>
              </w:rPr>
              <w:t>Tools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06913" w14:textId="77777777" w:rsidR="008A06AC" w:rsidRDefault="00000000">
            <w:r>
              <w:rPr>
                <w:sz w:val="20"/>
                <w:szCs w:val="20"/>
              </w:rPr>
              <w:t>Python 3 | Jupyter Notebook | Excel (openpyxl)</w:t>
            </w:r>
          </w:p>
        </w:tc>
      </w:tr>
      <w:tr w:rsidR="008A06AC" w14:paraId="2386A9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4FCA68" w14:textId="77777777" w:rsidR="008A06AC" w:rsidRDefault="00000000">
            <w:r>
              <w:rPr>
                <w:b/>
                <w:bCs/>
                <w:color w:val="1F4E79"/>
                <w:sz w:val="20"/>
                <w:szCs w:val="20"/>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D6F0" w14:textId="77777777" w:rsidR="008A06AC" w:rsidRDefault="00000000">
            <w:r>
              <w:rPr>
                <w:sz w:val="20"/>
                <w:szCs w:val="20"/>
              </w:rPr>
              <w:t>github.com/Yusuf-Sayeed/Market-risk-models</w:t>
            </w:r>
          </w:p>
        </w:tc>
      </w:tr>
    </w:tbl>
    <w:p w14:paraId="0017E408" w14:textId="77777777" w:rsidR="008A06AC" w:rsidRDefault="008A06AC">
      <w:pPr>
        <w:spacing w:before="80" w:after="80"/>
      </w:pPr>
    </w:p>
    <w:p w14:paraId="2F93A9F9" w14:textId="77777777" w:rsidR="008A06AC" w:rsidRDefault="00000000">
      <w:pPr>
        <w:pStyle w:val="Heading1"/>
        <w:pBdr>
          <w:bottom w:val="single" w:sz="8" w:space="4" w:color="2E75B6"/>
        </w:pBdr>
      </w:pPr>
      <w:r>
        <w:t>1. Executive Summary</w:t>
      </w:r>
    </w:p>
    <w:p w14:paraId="4EEC8F99" w14:textId="77777777" w:rsidR="008A06AC" w:rsidRDefault="00000000">
      <w:pPr>
        <w:spacing w:before="80" w:after="80" w:line="276" w:lineRule="auto"/>
        <w:jc w:val="both"/>
      </w:pPr>
      <w:r>
        <w:t>This report documents a portfolio-level market risk system built for a 5-stock NSE equity portfolio with equal weights (20% each). The system computes daily Value at Risk (VaR) and Expected Shortfall (ES) using three methodologies using Historical Simulation, Parametric (Variance-Covariance), and Monte Carlo simulation with a Student's t-distribution, calibrated to a 99% confidence level. VaR estimates are backtested against the Basel II traffic light framework using a 250-day rolling window. The system further includes risk decomposition by position, historical and hypothetical stress testing, and an auto-generated Excel dashboard consolidating all outputs.</w:t>
      </w:r>
    </w:p>
    <w:p w14:paraId="644DB566" w14:textId="77777777" w:rsidR="008A06AC" w:rsidRDefault="008A06AC">
      <w:pPr>
        <w:spacing w:before="80" w:after="80"/>
      </w:pPr>
    </w:p>
    <w:p w14:paraId="1434FB93" w14:textId="77777777" w:rsidR="008A06AC" w:rsidRDefault="00000000">
      <w:pPr>
        <w:pStyle w:val="Heading1"/>
        <w:pBdr>
          <w:bottom w:val="single" w:sz="8" w:space="4" w:color="2E75B6"/>
        </w:pBdr>
      </w:pPr>
      <w:r>
        <w:t>2. Data &amp; Portfolio Construction</w:t>
      </w:r>
    </w:p>
    <w:p w14:paraId="4FA3F0FF" w14:textId="5939F2DE" w:rsidR="008A06AC" w:rsidRDefault="00000000">
      <w:pPr>
        <w:spacing w:before="80" w:after="80" w:line="276" w:lineRule="auto"/>
        <w:jc w:val="both"/>
      </w:pPr>
      <w:r>
        <w:t>Price data was sourced from Yahoo Finance via the yfinance Python library, covering the period January 2018 to December 2024; approximately 1,726 trading days. This window was deliberately chosen to include the COVID-19 market crash (February</w:t>
      </w:r>
      <w:r w:rsidR="00A65226">
        <w:t xml:space="preserve"> - </w:t>
      </w:r>
      <w:r>
        <w:t>March 2020) and the 2022 global rate shock, ensuring stress events are represented in both the return distribution and backtesting window.</w:t>
      </w:r>
    </w:p>
    <w:p w14:paraId="5F61421F" w14:textId="77777777" w:rsidR="008A06AC" w:rsidRDefault="008A06AC">
      <w:pPr>
        <w:spacing w:before="80" w:after="80"/>
      </w:pPr>
    </w:p>
    <w:p w14:paraId="31329726" w14:textId="77777777" w:rsidR="008A06AC" w:rsidRDefault="00000000">
      <w:pPr>
        <w:spacing w:before="80" w:after="80" w:line="276" w:lineRule="auto"/>
        <w:jc w:val="both"/>
      </w:pPr>
      <w:r>
        <w:t xml:space="preserve">The portfolio consists of five large-cap NSE-listed equities: Reliance Industries, TCS, HDFC Bank, Infosys, and ITC selected for their sectoral diversity and liquidity. An equal-weight allocation of 20% </w:t>
      </w:r>
      <w:r>
        <w:lastRenderedPageBreak/>
        <w:t>per stock is applied. Daily log returns were computed as rₜ = ln(Pₜ/Pₜ₋₁) rather than simple returns, as log returns are time-additive and exhibit better statistical properties for risk modelling.</w:t>
      </w:r>
    </w:p>
    <w:p w14:paraId="7CDD5841" w14:textId="77777777" w:rsidR="008A06AC" w:rsidRDefault="008A06AC">
      <w:pPr>
        <w:spacing w:before="80" w:after="80"/>
      </w:pPr>
    </w:p>
    <w:p w14:paraId="528FB271" w14:textId="77777777" w:rsidR="008A06AC" w:rsidRDefault="00000000">
      <w:pPr>
        <w:pStyle w:val="Heading2"/>
      </w:pPr>
      <w:r>
        <w:t>2.1  Correlation Structure</w:t>
      </w:r>
    </w:p>
    <w:p w14:paraId="6DBD8A91" w14:textId="77777777" w:rsidR="008A06AC" w:rsidRDefault="00000000">
      <w:pPr>
        <w:spacing w:before="80" w:after="80" w:line="276" w:lineRule="auto"/>
        <w:jc w:val="both"/>
      </w:pPr>
      <w:r>
        <w:t>The table below shows the pairwise return correlations used in the covariance matrix. The high TCS–Infosys correlation (0.73) reflects shared exposure to USD/INR dynamics and global tech sentiment. ITC exhibits the lowest pairwise correlations, providing the greatest diversification benefit.</w:t>
      </w:r>
    </w:p>
    <w:p w14:paraId="1B79BDA3" w14:textId="77777777" w:rsidR="008A06AC" w:rsidRDefault="008A06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A06AC" w14:paraId="6485DE7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6CCB7E" w14:textId="77777777" w:rsidR="008A06AC" w:rsidRDefault="00000000">
            <w:r>
              <w:rPr>
                <w:b/>
                <w:bCs/>
                <w:color w:val="FFFFFF"/>
                <w:sz w:val="20"/>
                <w:szCs w:val="20"/>
              </w:rPr>
              <w:t>Stock</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C759DE" w14:textId="77777777" w:rsidR="008A06AC" w:rsidRDefault="00000000">
            <w:pPr>
              <w:jc w:val="center"/>
            </w:pPr>
            <w:r>
              <w:rPr>
                <w:b/>
                <w:bCs/>
                <w:color w:val="FFFFFF"/>
                <w:sz w:val="20"/>
                <w:szCs w:val="20"/>
              </w:rPr>
              <w:t>Reliance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CF8339" w14:textId="77777777" w:rsidR="008A06AC" w:rsidRDefault="00000000">
            <w:pPr>
              <w:jc w:val="center"/>
            </w:pPr>
            <w:r>
              <w:rPr>
                <w:b/>
                <w:bCs/>
                <w:color w:val="FFFFFF"/>
                <w:sz w:val="20"/>
                <w:szCs w:val="20"/>
              </w:rPr>
              <w:t>TCS</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E9F8FF" w14:textId="77777777" w:rsidR="008A06AC" w:rsidRDefault="00000000">
            <w:pPr>
              <w:jc w:val="center"/>
            </w:pPr>
            <w:r>
              <w:rPr>
                <w:b/>
                <w:bCs/>
                <w:color w:val="FFFFFF"/>
                <w:sz w:val="20"/>
                <w:szCs w:val="20"/>
              </w:rPr>
              <w:t>HDFC Bank</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023FEE" w14:textId="77777777" w:rsidR="008A06AC" w:rsidRDefault="00000000">
            <w:pPr>
              <w:jc w:val="center"/>
            </w:pPr>
            <w:r>
              <w:rPr>
                <w:b/>
                <w:bCs/>
                <w:color w:val="FFFFFF"/>
                <w:sz w:val="20"/>
                <w:szCs w:val="20"/>
              </w:rPr>
              <w:t>Infosys</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5B5983" w14:textId="77777777" w:rsidR="008A06AC" w:rsidRDefault="00000000">
            <w:pPr>
              <w:jc w:val="center"/>
            </w:pPr>
            <w:r>
              <w:rPr>
                <w:b/>
                <w:bCs/>
                <w:color w:val="FFFFFF"/>
                <w:sz w:val="20"/>
                <w:szCs w:val="20"/>
              </w:rPr>
              <w:t>ITC</w:t>
            </w:r>
          </w:p>
        </w:tc>
      </w:tr>
      <w:tr w:rsidR="008A06AC" w14:paraId="111D97F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EB36598" w14:textId="77777777" w:rsidR="008A06AC" w:rsidRDefault="00000000">
            <w:r>
              <w:rPr>
                <w:b/>
                <w:bCs/>
                <w:sz w:val="20"/>
                <w:szCs w:val="20"/>
              </w:rPr>
              <w:t>Reliance</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34D8289" w14:textId="77777777" w:rsidR="008A06AC" w:rsidRDefault="00000000">
            <w:pPr>
              <w:jc w:val="center"/>
            </w:pPr>
            <w:r>
              <w:rPr>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F95A79A" w14:textId="77777777" w:rsidR="008A06AC" w:rsidRDefault="00000000">
            <w:pPr>
              <w:jc w:val="center"/>
            </w:pPr>
            <w:r>
              <w:rPr>
                <w:sz w:val="20"/>
                <w:szCs w:val="20"/>
              </w:rPr>
              <w:t>0.45</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B4B6CA6" w14:textId="77777777" w:rsidR="008A06AC" w:rsidRDefault="00000000">
            <w:pPr>
              <w:jc w:val="center"/>
            </w:pPr>
            <w:r>
              <w:rPr>
                <w:sz w:val="20"/>
                <w:szCs w:val="20"/>
              </w:rPr>
              <w:t>0.53</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179414DE" w14:textId="77777777" w:rsidR="008A06AC" w:rsidRDefault="00000000">
            <w:pPr>
              <w:jc w:val="center"/>
            </w:pPr>
            <w:r>
              <w:rPr>
                <w:sz w:val="20"/>
                <w:szCs w:val="20"/>
              </w:rPr>
              <w:t>0.44</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6F1462B" w14:textId="77777777" w:rsidR="008A06AC" w:rsidRDefault="00000000">
            <w:pPr>
              <w:jc w:val="center"/>
            </w:pPr>
            <w:r>
              <w:rPr>
                <w:sz w:val="20"/>
                <w:szCs w:val="20"/>
              </w:rPr>
              <w:t>0.32</w:t>
            </w:r>
          </w:p>
        </w:tc>
      </w:tr>
      <w:tr w:rsidR="008A06AC" w14:paraId="7E3FBD5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BCF59" w14:textId="77777777" w:rsidR="008A06AC" w:rsidRDefault="00000000">
            <w:r>
              <w:rPr>
                <w:b/>
                <w:bCs/>
                <w:sz w:val="20"/>
                <w:szCs w:val="20"/>
              </w:rPr>
              <w:t>TCS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E6365" w14:textId="77777777" w:rsidR="008A06AC" w:rsidRDefault="00000000">
            <w:pPr>
              <w:jc w:val="center"/>
            </w:pPr>
            <w:r>
              <w:rPr>
                <w:sz w:val="20"/>
                <w:szCs w:val="20"/>
              </w:rPr>
              <w:t>0.45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80046" w14:textId="77777777" w:rsidR="008A06AC" w:rsidRDefault="00000000">
            <w:pPr>
              <w:jc w:val="center"/>
            </w:pPr>
            <w:r>
              <w:rPr>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F2417" w14:textId="77777777" w:rsidR="008A06AC" w:rsidRDefault="00000000">
            <w:pPr>
              <w:jc w:val="center"/>
            </w:pPr>
            <w:r>
              <w:rPr>
                <w:sz w:val="20"/>
                <w:szCs w:val="20"/>
              </w:rPr>
              <w:t>0.48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87C12" w14:textId="77777777" w:rsidR="008A06AC" w:rsidRDefault="00000000">
            <w:pPr>
              <w:jc w:val="center"/>
            </w:pPr>
            <w:r>
              <w:rPr>
                <w:sz w:val="20"/>
                <w:szCs w:val="20"/>
              </w:rPr>
              <w:t>0.73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C7FCC" w14:textId="77777777" w:rsidR="008A06AC" w:rsidRDefault="00000000">
            <w:pPr>
              <w:jc w:val="center"/>
            </w:pPr>
            <w:r>
              <w:rPr>
                <w:sz w:val="20"/>
                <w:szCs w:val="20"/>
              </w:rPr>
              <w:t>0.30</w:t>
            </w:r>
          </w:p>
        </w:tc>
      </w:tr>
      <w:tr w:rsidR="008A06AC" w14:paraId="7FDFBAB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E4F220B" w14:textId="77777777" w:rsidR="008A06AC" w:rsidRDefault="00000000">
            <w:r>
              <w:rPr>
                <w:b/>
                <w:bCs/>
                <w:sz w:val="20"/>
                <w:szCs w:val="20"/>
              </w:rPr>
              <w:t>HDFC Bank</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CD9FACD" w14:textId="77777777" w:rsidR="008A06AC" w:rsidRDefault="00000000">
            <w:pPr>
              <w:jc w:val="center"/>
            </w:pPr>
            <w:r>
              <w:rPr>
                <w:sz w:val="20"/>
                <w:szCs w:val="20"/>
              </w:rPr>
              <w:t>0.53</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1777F97" w14:textId="77777777" w:rsidR="008A06AC" w:rsidRDefault="00000000">
            <w:pPr>
              <w:jc w:val="center"/>
            </w:pPr>
            <w:r>
              <w:rPr>
                <w:sz w:val="20"/>
                <w:szCs w:val="20"/>
              </w:rPr>
              <w:t>0.48</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06673BC" w14:textId="77777777" w:rsidR="008A06AC" w:rsidRDefault="00000000">
            <w:pPr>
              <w:jc w:val="center"/>
            </w:pPr>
            <w:r>
              <w:rPr>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572CFC2" w14:textId="77777777" w:rsidR="008A06AC" w:rsidRDefault="00000000">
            <w:pPr>
              <w:jc w:val="center"/>
            </w:pPr>
            <w:r>
              <w:rPr>
                <w:sz w:val="20"/>
                <w:szCs w:val="20"/>
              </w:rPr>
              <w:t>0.46</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0993053" w14:textId="77777777" w:rsidR="008A06AC" w:rsidRDefault="00000000">
            <w:pPr>
              <w:jc w:val="center"/>
            </w:pPr>
            <w:r>
              <w:rPr>
                <w:sz w:val="20"/>
                <w:szCs w:val="20"/>
              </w:rPr>
              <w:t>0.34</w:t>
            </w:r>
          </w:p>
        </w:tc>
      </w:tr>
      <w:tr w:rsidR="008A06AC" w14:paraId="722B9CC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BD5A7" w14:textId="77777777" w:rsidR="008A06AC" w:rsidRDefault="00000000">
            <w:r>
              <w:rPr>
                <w:b/>
                <w:bCs/>
                <w:sz w:val="20"/>
                <w:szCs w:val="20"/>
              </w:rPr>
              <w:t>Infosys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03E35" w14:textId="77777777" w:rsidR="008A06AC" w:rsidRDefault="00000000">
            <w:pPr>
              <w:jc w:val="center"/>
            </w:pPr>
            <w:r>
              <w:rPr>
                <w:sz w:val="20"/>
                <w:szCs w:val="20"/>
              </w:rPr>
              <w:t>0.44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F6F96" w14:textId="77777777" w:rsidR="008A06AC" w:rsidRDefault="00000000">
            <w:pPr>
              <w:jc w:val="center"/>
            </w:pPr>
            <w:r>
              <w:rPr>
                <w:sz w:val="20"/>
                <w:szCs w:val="20"/>
              </w:rPr>
              <w:t>0.73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8C2E7" w14:textId="77777777" w:rsidR="008A06AC" w:rsidRDefault="00000000">
            <w:pPr>
              <w:jc w:val="center"/>
            </w:pPr>
            <w:r>
              <w:rPr>
                <w:sz w:val="20"/>
                <w:szCs w:val="20"/>
              </w:rPr>
              <w:t>0.46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A0A09" w14:textId="77777777" w:rsidR="008A06AC" w:rsidRDefault="00000000">
            <w:pPr>
              <w:jc w:val="center"/>
            </w:pPr>
            <w:r>
              <w:rPr>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FC740" w14:textId="77777777" w:rsidR="008A06AC" w:rsidRDefault="00000000">
            <w:pPr>
              <w:jc w:val="center"/>
            </w:pPr>
            <w:r>
              <w:rPr>
                <w:sz w:val="20"/>
                <w:szCs w:val="20"/>
              </w:rPr>
              <w:t>0.27</w:t>
            </w:r>
          </w:p>
        </w:tc>
      </w:tr>
      <w:tr w:rsidR="008A06AC" w14:paraId="565864B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E2A0617" w14:textId="77777777" w:rsidR="008A06AC" w:rsidRDefault="00000000">
            <w:r>
              <w:rPr>
                <w:b/>
                <w:bCs/>
                <w:sz w:val="20"/>
                <w:szCs w:val="20"/>
              </w:rPr>
              <w:t>ITC</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D384FA2" w14:textId="77777777" w:rsidR="008A06AC" w:rsidRDefault="00000000">
            <w:pPr>
              <w:jc w:val="center"/>
            </w:pPr>
            <w:r>
              <w:rPr>
                <w:sz w:val="20"/>
                <w:szCs w:val="20"/>
              </w:rPr>
              <w:t>0.32</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453EB4A" w14:textId="77777777" w:rsidR="008A06AC" w:rsidRDefault="00000000">
            <w:pPr>
              <w:jc w:val="center"/>
            </w:pPr>
            <w:r>
              <w:rPr>
                <w:sz w:val="20"/>
                <w:szCs w:val="20"/>
              </w:rPr>
              <w:t>0.30</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2767662" w14:textId="77777777" w:rsidR="008A06AC" w:rsidRDefault="00000000">
            <w:pPr>
              <w:jc w:val="center"/>
            </w:pPr>
            <w:r>
              <w:rPr>
                <w:sz w:val="20"/>
                <w:szCs w:val="20"/>
              </w:rPr>
              <w:t>0.34</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5A87B39" w14:textId="77777777" w:rsidR="008A06AC" w:rsidRDefault="00000000">
            <w:pPr>
              <w:jc w:val="center"/>
            </w:pPr>
            <w:r>
              <w:rPr>
                <w:sz w:val="20"/>
                <w:szCs w:val="20"/>
              </w:rPr>
              <w:t>0.27</w:t>
            </w:r>
          </w:p>
        </w:tc>
        <w:tc>
          <w:tcPr>
            <w:tcW w:w="144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B8C0995" w14:textId="77777777" w:rsidR="008A06AC" w:rsidRDefault="00000000">
            <w:pPr>
              <w:jc w:val="center"/>
            </w:pPr>
            <w:r>
              <w:rPr>
                <w:sz w:val="20"/>
                <w:szCs w:val="20"/>
              </w:rPr>
              <w:t>1.00</w:t>
            </w:r>
          </w:p>
        </w:tc>
      </w:tr>
    </w:tbl>
    <w:p w14:paraId="181D3E57" w14:textId="77777777" w:rsidR="008A06AC" w:rsidRDefault="008A06AC">
      <w:pPr>
        <w:spacing w:before="80" w:after="80"/>
      </w:pPr>
    </w:p>
    <w:p w14:paraId="34ED525E" w14:textId="77777777" w:rsidR="008A06AC" w:rsidRDefault="00000000">
      <w:pPr>
        <w:pStyle w:val="Heading1"/>
        <w:pBdr>
          <w:bottom w:val="single" w:sz="8" w:space="4" w:color="2E75B6"/>
        </w:pBdr>
      </w:pPr>
      <w:r>
        <w:t>3. Value at Risk Methodology</w:t>
      </w:r>
    </w:p>
    <w:p w14:paraId="0F7DB3EC" w14:textId="77777777" w:rsidR="008A06AC" w:rsidRDefault="00000000">
      <w:pPr>
        <w:spacing w:before="80" w:after="80" w:line="276" w:lineRule="auto"/>
        <w:jc w:val="both"/>
      </w:pPr>
      <w:r>
        <w:t>Value at Risk (VaR) is a statistical risk measure that estimates the maximum portfolio loss over a given time horizon at a specified confidence level. In this system, VaR is computed at the 99% confidence level on a 1-day horizon. Three methods are implemented and compared.</w:t>
      </w:r>
    </w:p>
    <w:p w14:paraId="646C1B0E" w14:textId="77777777" w:rsidR="008A06AC" w:rsidRDefault="008A06AC">
      <w:pPr>
        <w:spacing w:before="80" w:after="80"/>
      </w:pPr>
    </w:p>
    <w:p w14:paraId="2256DC60" w14:textId="77777777" w:rsidR="008A06AC" w:rsidRDefault="00000000">
      <w:pPr>
        <w:pStyle w:val="Heading2"/>
      </w:pPr>
      <w:r>
        <w:t>3.1  Historical Simulation</w:t>
      </w:r>
    </w:p>
    <w:p w14:paraId="7951251D" w14:textId="77777777" w:rsidR="008A06AC" w:rsidRDefault="00000000">
      <w:pPr>
        <w:spacing w:before="80" w:after="80" w:line="276" w:lineRule="auto"/>
        <w:jc w:val="both"/>
      </w:pPr>
      <w:r>
        <w:t>Historical Simulation makes no distributional assumptions. The 1,725 daily portfolio returns are ranked in ascending order and the 1st percentile is taken as the VaR estimate. This approach captures fat tails and skewness present in actual return data, including crisis periods. Result: 99% 1-Day VaR = 3.08%.</w:t>
      </w:r>
    </w:p>
    <w:p w14:paraId="3909CC5C" w14:textId="77777777" w:rsidR="008A06AC" w:rsidRDefault="008A06AC">
      <w:pPr>
        <w:spacing w:before="80" w:after="80"/>
      </w:pPr>
    </w:p>
    <w:p w14:paraId="47F1C4F5" w14:textId="77777777" w:rsidR="008A06AC" w:rsidRDefault="00000000">
      <w:pPr>
        <w:pStyle w:val="Heading2"/>
      </w:pPr>
      <w:r>
        <w:t>3.2  Parametric (Variance-Covariance)</w:t>
      </w:r>
    </w:p>
    <w:p w14:paraId="211DB52F" w14:textId="77777777" w:rsidR="008A06AC" w:rsidRDefault="00000000">
      <w:pPr>
        <w:spacing w:before="80" w:after="80" w:line="276" w:lineRule="auto"/>
        <w:jc w:val="both"/>
      </w:pPr>
      <w:r>
        <w:t>The Parametric method assumes portfolio returns follow a normal distribution. VaR is calculated as VaR = -(μ − z·σ), where μ is the mean daily return, σ is the standard deviation, and z = 2.326 is the 99th percentile z-score from the standard normal distribution. While computationally efficient, this method systematically underestimates tail risk because equity returns exhibit excess kurtosis (fatter tails than the normal distribution implies). Result: 99% 1-Day VaR = 2.52%.</w:t>
      </w:r>
    </w:p>
    <w:p w14:paraId="0BBC9F2C" w14:textId="77777777" w:rsidR="008A06AC" w:rsidRDefault="008A06AC">
      <w:pPr>
        <w:spacing w:before="80" w:after="80"/>
      </w:pPr>
    </w:p>
    <w:p w14:paraId="5E331F51" w14:textId="77777777" w:rsidR="008A06AC" w:rsidRDefault="00000000">
      <w:pPr>
        <w:pStyle w:val="Heading2"/>
      </w:pPr>
      <w:r>
        <w:t>3.3  Monte Carlo Simulation</w:t>
      </w:r>
    </w:p>
    <w:p w14:paraId="6A455970" w14:textId="77777777" w:rsidR="008A06AC" w:rsidRDefault="00000000">
      <w:pPr>
        <w:spacing w:before="80" w:after="80" w:line="276" w:lineRule="auto"/>
        <w:jc w:val="both"/>
      </w:pPr>
      <w:r>
        <w:lastRenderedPageBreak/>
        <w:t>Monte Carlo VaR simulates 10,000 daily return scenarios by drawing from a Student's t-distribution with 6 degrees of freedom, scaled by the portfolio's empirical mean and standard deviation. The t-distribution was chosen because it produces heavier tails than the normal distribution, better reflecting the empirically observed behaviour of equity returns. The 1st percentile of simulated outcomes is taken as the VaR estimate. A random seed of 123 is fixed for reproducibility. Result: 99% 1-Day VaR = 3.39%.</w:t>
      </w:r>
    </w:p>
    <w:p w14:paraId="018516ED" w14:textId="77777777" w:rsidR="008A06AC" w:rsidRDefault="008A06AC">
      <w:pPr>
        <w:spacing w:before="80" w:after="80"/>
      </w:pPr>
    </w:p>
    <w:p w14:paraId="69CD3186" w14:textId="77777777" w:rsidR="008A06AC" w:rsidRDefault="00000000">
      <w:pPr>
        <w:pStyle w:val="Heading2"/>
      </w:pPr>
      <w:r>
        <w:t>3.4  VaR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8A06AC" w14:paraId="73A534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F1E10E" w14:textId="77777777" w:rsidR="008A06AC" w:rsidRDefault="00000000">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3D9A8" w14:textId="77777777" w:rsidR="008A06AC" w:rsidRDefault="00000000">
            <w:pPr>
              <w:jc w:val="center"/>
            </w:pPr>
            <w:r>
              <w:rPr>
                <w:b/>
                <w:bCs/>
                <w:color w:val="FFFFFF"/>
                <w:sz w:val="20"/>
                <w:szCs w:val="20"/>
              </w:rPr>
              <w:t>VaR (99%)</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D200BD" w14:textId="77777777" w:rsidR="008A06AC" w:rsidRDefault="00000000">
            <w:pPr>
              <w:jc w:val="center"/>
            </w:pPr>
            <w:r>
              <w:rPr>
                <w:b/>
                <w:bCs/>
                <w:color w:val="FFFFFF"/>
                <w:sz w:val="20"/>
                <w:szCs w:val="20"/>
              </w:rPr>
              <w:t>ES (99%)</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730C21" w14:textId="77777777" w:rsidR="008A06AC" w:rsidRDefault="00000000">
            <w:r>
              <w:rPr>
                <w:b/>
                <w:bCs/>
                <w:color w:val="FFFFFF"/>
                <w:sz w:val="20"/>
                <w:szCs w:val="20"/>
              </w:rPr>
              <w:t>Key Assumption</w:t>
            </w:r>
          </w:p>
        </w:tc>
      </w:tr>
      <w:tr w:rsidR="008A06AC" w14:paraId="39026E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3CA4C9C" w14:textId="77777777" w:rsidR="008A06AC" w:rsidRDefault="00000000">
            <w:r>
              <w:rPr>
                <w:sz w:val="20"/>
                <w:szCs w:val="20"/>
              </w:rPr>
              <w:t>Historical Simulation</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2E9C295" w14:textId="77777777" w:rsidR="008A06AC" w:rsidRDefault="00000000">
            <w:pPr>
              <w:jc w:val="center"/>
            </w:pPr>
            <w:r>
              <w:rPr>
                <w:sz w:val="20"/>
                <w:szCs w:val="20"/>
              </w:rPr>
              <w:t>3.08%</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CDA93A9" w14:textId="77777777" w:rsidR="008A06AC" w:rsidRDefault="00000000">
            <w:pPr>
              <w:jc w:val="center"/>
            </w:pPr>
            <w:r>
              <w:rPr>
                <w:sz w:val="20"/>
                <w:szCs w:val="20"/>
              </w:rPr>
              <w:t>4.88%</w:t>
            </w:r>
          </w:p>
        </w:tc>
        <w:tc>
          <w:tcPr>
            <w:tcW w:w="23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85FA9D0" w14:textId="77777777" w:rsidR="008A06AC" w:rsidRDefault="00000000">
            <w:r>
              <w:rPr>
                <w:sz w:val="20"/>
                <w:szCs w:val="20"/>
              </w:rPr>
              <w:t>None (non-parametric)</w:t>
            </w:r>
          </w:p>
        </w:tc>
      </w:tr>
      <w:tr w:rsidR="008A06AC" w14:paraId="1883B1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E3C5E" w14:textId="77777777" w:rsidR="008A06AC" w:rsidRDefault="00000000">
            <w:r>
              <w:rPr>
                <w:sz w:val="20"/>
                <w:szCs w:val="20"/>
              </w:rPr>
              <w:t>Parametric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EA510" w14:textId="77777777" w:rsidR="008A06AC" w:rsidRDefault="00000000">
            <w:pPr>
              <w:jc w:val="center"/>
            </w:pPr>
            <w:r>
              <w:rPr>
                <w:sz w:val="20"/>
                <w:szCs w:val="20"/>
              </w:rPr>
              <w:t>2.52%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F1229" w14:textId="77777777" w:rsidR="008A06AC" w:rsidRDefault="00000000">
            <w:pPr>
              <w:jc w:val="center"/>
            </w:pPr>
            <w:r>
              <w:rPr>
                <w:sz w:val="20"/>
                <w:szCs w:val="20"/>
              </w:rPr>
              <w:t>2.89%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85CFA" w14:textId="77777777" w:rsidR="008A06AC" w:rsidRDefault="00000000">
            <w:r>
              <w:rPr>
                <w:sz w:val="20"/>
                <w:szCs w:val="20"/>
              </w:rPr>
              <w:t>Normal distribution</w:t>
            </w:r>
          </w:p>
        </w:tc>
      </w:tr>
      <w:tr w:rsidR="008A06AC" w14:paraId="4E36C8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F3D2457" w14:textId="77777777" w:rsidR="008A06AC" w:rsidRDefault="00000000">
            <w:r>
              <w:rPr>
                <w:sz w:val="20"/>
                <w:szCs w:val="20"/>
              </w:rPr>
              <w:t>Monte Carlo (t, df=6)</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7A7D0DB" w14:textId="77777777" w:rsidR="008A06AC" w:rsidRDefault="00000000">
            <w:pPr>
              <w:jc w:val="center"/>
            </w:pPr>
            <w:r>
              <w:rPr>
                <w:sz w:val="20"/>
                <w:szCs w:val="20"/>
              </w:rPr>
              <w:t>3.39%</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C0444B0" w14:textId="77777777" w:rsidR="008A06AC" w:rsidRDefault="00000000">
            <w:pPr>
              <w:jc w:val="center"/>
            </w:pPr>
            <w:r>
              <w:rPr>
                <w:sz w:val="20"/>
                <w:szCs w:val="20"/>
              </w:rPr>
              <w:t>4.16%</w:t>
            </w:r>
          </w:p>
        </w:tc>
        <w:tc>
          <w:tcPr>
            <w:tcW w:w="23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ACBF9B2" w14:textId="77777777" w:rsidR="008A06AC" w:rsidRDefault="00000000">
            <w:r>
              <w:rPr>
                <w:sz w:val="20"/>
                <w:szCs w:val="20"/>
              </w:rPr>
              <w:t>t-distribution, df=6</w:t>
            </w:r>
          </w:p>
        </w:tc>
      </w:tr>
    </w:tbl>
    <w:p w14:paraId="26B2EDBD" w14:textId="77777777" w:rsidR="008A06AC" w:rsidRDefault="008A06AC">
      <w:pPr>
        <w:spacing w:before="80" w:after="80"/>
      </w:pPr>
    </w:p>
    <w:p w14:paraId="395728BA" w14:textId="77777777" w:rsidR="008A06AC" w:rsidRDefault="00000000">
      <w:pPr>
        <w:pStyle w:val="Heading1"/>
        <w:pBdr>
          <w:bottom w:val="single" w:sz="8" w:space="4" w:color="2E75B6"/>
        </w:pBdr>
      </w:pPr>
      <w:r>
        <w:t>4. Backtesting: Basel II Traffic Light Test</w:t>
      </w:r>
    </w:p>
    <w:p w14:paraId="5FC242D5" w14:textId="77777777" w:rsidR="008A06AC" w:rsidRDefault="00000000">
      <w:pPr>
        <w:spacing w:before="80" w:after="80" w:line="276" w:lineRule="auto"/>
        <w:jc w:val="both"/>
      </w:pPr>
      <w:r>
        <w:t>VaR models are validated by counting the number of exceptions, days on which the actual portfolio loss exceeds the VaR estimate, over a rolling 250-day window. The Basel II traffic light framework classifies models into Green (0–4 exceptions), Yellow (5–9), or Red (10+) zones. All three methods fall within the Green zone, indicating well-calibrated models.</w:t>
      </w:r>
    </w:p>
    <w:p w14:paraId="3A8AC85C" w14:textId="77777777" w:rsidR="008A06AC" w:rsidRDefault="008A06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6"/>
        <w:gridCol w:w="2125"/>
        <w:gridCol w:w="2125"/>
        <w:gridCol w:w="1984"/>
      </w:tblGrid>
      <w:tr w:rsidR="008A06AC" w14:paraId="134E68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35493C" w14:textId="77777777" w:rsidR="008A06AC" w:rsidRDefault="00000000">
            <w:r>
              <w:rPr>
                <w:b/>
                <w:bCs/>
                <w:color w:val="FFFFFF"/>
                <w:sz w:val="20"/>
                <w:szCs w:val="20"/>
              </w:rPr>
              <w:t>Method</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477E82" w14:textId="77777777" w:rsidR="008A06AC" w:rsidRDefault="00000000">
            <w:pPr>
              <w:jc w:val="center"/>
            </w:pPr>
            <w:r>
              <w:rPr>
                <w:b/>
                <w:bCs/>
                <w:color w:val="FFFFFF"/>
                <w:sz w:val="20"/>
                <w:szCs w:val="20"/>
              </w:rPr>
              <w:t>Exceptions (250d)</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CCF082" w14:textId="77777777" w:rsidR="008A06AC" w:rsidRDefault="00000000">
            <w:pPr>
              <w:jc w:val="center"/>
            </w:pPr>
            <w:r>
              <w:rPr>
                <w:b/>
                <w:bCs/>
                <w:color w:val="FFFFFF"/>
                <w:sz w:val="20"/>
                <w:szCs w:val="20"/>
              </w:rPr>
              <w:t>Zone</w:t>
            </w:r>
          </w:p>
        </w:tc>
        <w:tc>
          <w:tcPr>
            <w:tcW w:w="1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33764E" w14:textId="77777777" w:rsidR="008A06AC" w:rsidRDefault="00000000">
            <w:pPr>
              <w:jc w:val="center"/>
            </w:pPr>
            <w:r>
              <w:rPr>
                <w:b/>
                <w:bCs/>
                <w:color w:val="FFFFFF"/>
                <w:sz w:val="20"/>
                <w:szCs w:val="20"/>
              </w:rPr>
              <w:t>Status</w:t>
            </w:r>
          </w:p>
        </w:tc>
      </w:tr>
      <w:tr w:rsidR="008A06AC" w14:paraId="1DD5F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20517C3" w14:textId="77777777" w:rsidR="008A06AC" w:rsidRDefault="00000000">
            <w:r>
              <w:rPr>
                <w:sz w:val="20"/>
                <w:szCs w:val="20"/>
              </w:rPr>
              <w:t>Historical Simulation</w:t>
            </w:r>
          </w:p>
        </w:tc>
        <w:tc>
          <w:tcPr>
            <w:tcW w:w="212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86D64FC" w14:textId="77777777" w:rsidR="008A06AC" w:rsidRDefault="00000000">
            <w:pPr>
              <w:jc w:val="center"/>
            </w:pPr>
            <w:r>
              <w:rPr>
                <w:sz w:val="20"/>
                <w:szCs w:val="20"/>
              </w:rPr>
              <w:t>1</w:t>
            </w:r>
          </w:p>
        </w:tc>
        <w:tc>
          <w:tcPr>
            <w:tcW w:w="212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7C80CE2" w14:textId="77777777" w:rsidR="008A06AC" w:rsidRDefault="00000000">
            <w:pPr>
              <w:jc w:val="center"/>
            </w:pPr>
            <w:r>
              <w:rPr>
                <w:sz w:val="20"/>
                <w:szCs w:val="20"/>
              </w:rPr>
              <w:t>Green</w:t>
            </w:r>
          </w:p>
        </w:tc>
        <w:tc>
          <w:tcPr>
            <w:tcW w:w="198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0A3252C" w14:textId="77777777" w:rsidR="008A06AC" w:rsidRDefault="00000000">
            <w:pPr>
              <w:jc w:val="center"/>
            </w:pPr>
            <w:r>
              <w:rPr>
                <w:sz w:val="20"/>
                <w:szCs w:val="20"/>
              </w:rPr>
              <w:t>✓ Acceptable</w:t>
            </w:r>
          </w:p>
        </w:tc>
      </w:tr>
      <w:tr w:rsidR="008A06AC" w14:paraId="513970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D24D2" w14:textId="77777777" w:rsidR="008A06AC" w:rsidRDefault="00000000">
            <w:r>
              <w:rPr>
                <w:sz w:val="20"/>
                <w:szCs w:val="20"/>
              </w:rPr>
              <w:t>Parametric</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A5FD5" w14:textId="77777777" w:rsidR="008A06AC" w:rsidRDefault="00000000">
            <w:pPr>
              <w:jc w:val="center"/>
            </w:pPr>
            <w:r>
              <w:rPr>
                <w:sz w:val="20"/>
                <w:szCs w:val="20"/>
              </w:rPr>
              <w:t>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B5C87" w14:textId="77777777" w:rsidR="008A06AC" w:rsidRDefault="00000000">
            <w:pPr>
              <w:jc w:val="center"/>
            </w:pPr>
            <w:r>
              <w:rPr>
                <w:sz w:val="20"/>
                <w:szCs w:val="20"/>
              </w:rPr>
              <w:t>Green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95B1F" w14:textId="77777777" w:rsidR="008A06AC" w:rsidRDefault="00000000">
            <w:pPr>
              <w:jc w:val="center"/>
            </w:pPr>
            <w:r>
              <w:rPr>
                <w:sz w:val="20"/>
                <w:szCs w:val="20"/>
              </w:rPr>
              <w:t>✓ Acceptable</w:t>
            </w:r>
          </w:p>
        </w:tc>
      </w:tr>
      <w:tr w:rsidR="008A06AC" w14:paraId="0047F0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3AF1F6D" w14:textId="77777777" w:rsidR="008A06AC" w:rsidRDefault="00000000">
            <w:r>
              <w:rPr>
                <w:sz w:val="20"/>
                <w:szCs w:val="20"/>
              </w:rPr>
              <w:t>Monte Carlo</w:t>
            </w:r>
          </w:p>
        </w:tc>
        <w:tc>
          <w:tcPr>
            <w:tcW w:w="212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105569D3" w14:textId="77777777" w:rsidR="008A06AC" w:rsidRDefault="00000000">
            <w:pPr>
              <w:jc w:val="center"/>
            </w:pPr>
            <w:r>
              <w:rPr>
                <w:sz w:val="20"/>
                <w:szCs w:val="20"/>
              </w:rPr>
              <w:t>0</w:t>
            </w:r>
          </w:p>
        </w:tc>
        <w:tc>
          <w:tcPr>
            <w:tcW w:w="212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7C9733C" w14:textId="77777777" w:rsidR="008A06AC" w:rsidRDefault="00000000">
            <w:pPr>
              <w:jc w:val="center"/>
            </w:pPr>
            <w:r>
              <w:rPr>
                <w:sz w:val="20"/>
                <w:szCs w:val="20"/>
              </w:rPr>
              <w:t>Green</w:t>
            </w:r>
          </w:p>
        </w:tc>
        <w:tc>
          <w:tcPr>
            <w:tcW w:w="198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6568563" w14:textId="77777777" w:rsidR="008A06AC" w:rsidRDefault="00000000">
            <w:pPr>
              <w:jc w:val="center"/>
            </w:pPr>
            <w:r>
              <w:rPr>
                <w:sz w:val="20"/>
                <w:szCs w:val="20"/>
              </w:rPr>
              <w:t>✓ Acceptable</w:t>
            </w:r>
          </w:p>
        </w:tc>
      </w:tr>
    </w:tbl>
    <w:p w14:paraId="62E10CB3" w14:textId="77777777" w:rsidR="008A06AC" w:rsidRDefault="008A06AC">
      <w:pPr>
        <w:spacing w:before="80" w:after="80"/>
      </w:pPr>
    </w:p>
    <w:p w14:paraId="6EB11873" w14:textId="77777777" w:rsidR="008A06AC" w:rsidRDefault="00000000">
      <w:pPr>
        <w:pStyle w:val="Heading1"/>
        <w:pBdr>
          <w:bottom w:val="single" w:sz="8" w:space="4" w:color="2E75B6"/>
        </w:pBdr>
      </w:pPr>
      <w:r>
        <w:t>5. Expected Shortfall (CVaR)</w:t>
      </w:r>
    </w:p>
    <w:p w14:paraId="1B03F1CF" w14:textId="77777777" w:rsidR="008A06AC" w:rsidRDefault="00000000">
      <w:pPr>
        <w:spacing w:before="80" w:after="80" w:line="276" w:lineRule="auto"/>
        <w:jc w:val="both"/>
      </w:pPr>
      <w:r>
        <w:t>Expected Shortfall (ES), also known as Conditional VaR (CVaR), measures the average portfolio loss on days that exceed the VaR threshold. Where VaR answers 'what is the minimum loss in the worst 1% of days,' ES answers 'what is the average loss on those worst days.' This makes ES a more complete measure of tail risk.</w:t>
      </w:r>
    </w:p>
    <w:p w14:paraId="016059C3" w14:textId="77777777" w:rsidR="008A06AC" w:rsidRDefault="008A06AC">
      <w:pPr>
        <w:spacing w:before="80" w:after="80"/>
      </w:pPr>
    </w:p>
    <w:p w14:paraId="68602CDC" w14:textId="77777777" w:rsidR="008A06AC" w:rsidRDefault="00000000">
      <w:pPr>
        <w:spacing w:before="80" w:after="80" w:line="276" w:lineRule="auto"/>
        <w:jc w:val="both"/>
      </w:pPr>
      <w:r>
        <w:t>Under Basel III's Fundamental Review of the Trading Book (FRTB), regulators replaced 99% VaR with 97.5% ES as the primary risk metric. The rationale is that ES is more sensitive to the severity of tail losses, not just their frequency, and is harder to game through portfolio construction.</w:t>
      </w:r>
    </w:p>
    <w:p w14:paraId="4CA5D568" w14:textId="77777777" w:rsidR="008A06AC" w:rsidRDefault="008A06AC">
      <w:pPr>
        <w:spacing w:before="80" w:after="80"/>
      </w:pPr>
    </w:p>
    <w:p w14:paraId="10F8C1CA" w14:textId="77777777" w:rsidR="008A06AC" w:rsidRDefault="00000000">
      <w:pPr>
        <w:spacing w:before="80" w:after="80" w:line="276" w:lineRule="auto"/>
        <w:jc w:val="both"/>
      </w:pPr>
      <w:r>
        <w:lastRenderedPageBreak/>
        <w:t>For Historical ES, all returns below the VaR threshold are filtered and their mean is taken: ES = −mean(rₜ | rₜ &lt; −VaR). For Parametric ES, the closed-form FRM formula is applied: ES = −(μ − σ·φ(z) / (1 − c)), where φ(z) is the standard normal PDF evaluated at the VaR z-score and c is the confidence level. For Monte Carlo ES, the same t-distribution simulated returns are filtered below the Monte Carlo VaR threshold and averaged.</w:t>
      </w:r>
    </w:p>
    <w:p w14:paraId="322F0F0B" w14:textId="77777777" w:rsidR="008A06AC" w:rsidRDefault="008A06AC">
      <w:pPr>
        <w:spacing w:before="80" w:after="80"/>
      </w:pPr>
    </w:p>
    <w:p w14:paraId="5260D65D" w14:textId="77777777" w:rsidR="008A06AC" w:rsidRDefault="00000000">
      <w:pPr>
        <w:pStyle w:val="Heading1"/>
        <w:pBdr>
          <w:bottom w:val="single" w:sz="8" w:space="4" w:color="2E75B6"/>
        </w:pBdr>
      </w:pPr>
      <w:r>
        <w:t>6. Risk Decomposition</w:t>
      </w:r>
    </w:p>
    <w:p w14:paraId="680C7E8E" w14:textId="77777777" w:rsidR="008A06AC" w:rsidRDefault="00000000">
      <w:pPr>
        <w:spacing w:before="80" w:after="80" w:line="276" w:lineRule="auto"/>
        <w:jc w:val="both"/>
      </w:pPr>
      <w:r>
        <w:t>Risk decomposition identifies each position's contribution to total portfolio risk, enabling risk managers to monitor concentrations, set position limits, and make informed hedging decisions.</w:t>
      </w:r>
    </w:p>
    <w:p w14:paraId="42600672" w14:textId="77777777" w:rsidR="008A06AC" w:rsidRDefault="008A06AC">
      <w:pPr>
        <w:spacing w:before="80" w:after="80"/>
      </w:pPr>
    </w:p>
    <w:p w14:paraId="78E41CBA" w14:textId="77777777" w:rsidR="008A06AC" w:rsidRDefault="00000000">
      <w:pPr>
        <w:pStyle w:val="Heading2"/>
      </w:pPr>
      <w:r>
        <w:t>6.1  Marginal VaR</w:t>
      </w:r>
    </w:p>
    <w:p w14:paraId="622EF930" w14:textId="77777777" w:rsidR="008A06AC" w:rsidRDefault="00000000">
      <w:pPr>
        <w:spacing w:before="80" w:after="80" w:line="276" w:lineRule="auto"/>
        <w:jc w:val="both"/>
      </w:pPr>
      <w:r>
        <w:t>Marginal VaR (MVaR) measures the rate of change of portfolio VaR with respect to a marginal increase in a position. It is computed as MVaR_i = z · (Σw)_i / σ_p, where Σ is the covariance matrix of returns, w is the weight vector, and σ_p is portfolio volatility. A higher MVaR indicates that increasing exposure to that asset adds disproportionately more risk to the portfolio.</w:t>
      </w:r>
    </w:p>
    <w:p w14:paraId="3F1A9CC0" w14:textId="77777777" w:rsidR="008A06AC" w:rsidRDefault="008A06AC">
      <w:pPr>
        <w:spacing w:before="80" w:after="80"/>
      </w:pPr>
    </w:p>
    <w:p w14:paraId="7AFC4451" w14:textId="77777777" w:rsidR="008A06AC" w:rsidRDefault="00000000">
      <w:pPr>
        <w:pStyle w:val="Heading2"/>
      </w:pPr>
      <w:r>
        <w:t>6.2  Component VaR</w:t>
      </w:r>
    </w:p>
    <w:p w14:paraId="3AD5DE13" w14:textId="77777777" w:rsidR="008A06AC" w:rsidRDefault="00000000">
      <w:pPr>
        <w:spacing w:before="80" w:after="80" w:line="276" w:lineRule="auto"/>
        <w:jc w:val="both"/>
      </w:pPr>
      <w:r>
        <w:t>Component VaR (CVaR) is the dollar contribution of each position to total portfolio VaR, computed as CVaR_i = w_i · MVaR_i. A key property is full additivity: the sum of all Component VaRs equals total portfolio VaR, making it suitable for risk budgeting and limit allocation.</w:t>
      </w:r>
    </w:p>
    <w:p w14:paraId="39B5421D" w14:textId="77777777" w:rsidR="008A06AC" w:rsidRDefault="008A06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800"/>
        <w:gridCol w:w="1800"/>
        <w:gridCol w:w="1500"/>
        <w:gridCol w:w="1500"/>
      </w:tblGrid>
      <w:tr w:rsidR="008A06AC" w14:paraId="7A2AB45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B629C0" w14:textId="77777777" w:rsidR="008A06AC" w:rsidRDefault="00000000">
            <w:r>
              <w:rPr>
                <w:b/>
                <w:bCs/>
                <w:color w:val="FFFFFF"/>
                <w:sz w:val="20"/>
                <w:szCs w:val="20"/>
              </w:rPr>
              <w:t>Stock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6C9512" w14:textId="77777777" w:rsidR="008A06AC" w:rsidRDefault="00000000">
            <w:pPr>
              <w:jc w:val="center"/>
            </w:pPr>
            <w:r>
              <w:rPr>
                <w:b/>
                <w:bCs/>
                <w:color w:val="FFFFFF"/>
                <w:sz w:val="20"/>
                <w:szCs w:val="20"/>
              </w:rPr>
              <w:t>Weight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9FCA26" w14:textId="77777777" w:rsidR="008A06AC" w:rsidRDefault="00000000">
            <w:pPr>
              <w:jc w:val="center"/>
            </w:pPr>
            <w:r>
              <w:rPr>
                <w:b/>
                <w:bCs/>
                <w:color w:val="FFFFFF"/>
                <w:sz w:val="20"/>
                <w:szCs w:val="20"/>
              </w:rPr>
              <w:t>Marginal VaR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B0240" w14:textId="77777777" w:rsidR="008A06AC" w:rsidRDefault="00000000">
            <w:pPr>
              <w:jc w:val="center"/>
            </w:pPr>
            <w:r>
              <w:rPr>
                <w:b/>
                <w:bCs/>
                <w:color w:val="FFFFFF"/>
                <w:sz w:val="20"/>
                <w:szCs w:val="20"/>
              </w:rPr>
              <w:t>Component VaR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32210D" w14:textId="77777777" w:rsidR="008A06AC" w:rsidRDefault="00000000">
            <w:pPr>
              <w:jc w:val="center"/>
            </w:pPr>
            <w:r>
              <w:rPr>
                <w:b/>
                <w:bCs/>
                <w:color w:val="FFFFFF"/>
                <w:sz w:val="20"/>
                <w:szCs w:val="20"/>
              </w:rPr>
              <w:t>% of Total</w:t>
            </w:r>
          </w:p>
        </w:tc>
      </w:tr>
      <w:tr w:rsidR="008A06AC" w14:paraId="4C4622F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355EF95" w14:textId="77777777" w:rsidR="008A06AC" w:rsidRDefault="00000000">
            <w:r>
              <w:rPr>
                <w:sz w:val="20"/>
                <w:szCs w:val="20"/>
              </w:rPr>
              <w:t>Reliance Industries</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2D50FF5" w14:textId="77777777" w:rsidR="008A06AC" w:rsidRDefault="00000000">
            <w:pPr>
              <w:jc w:val="center"/>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2D1E1E6" w14:textId="77777777" w:rsidR="008A06AC" w:rsidRDefault="00000000">
            <w:pPr>
              <w:jc w:val="center"/>
            </w:pPr>
            <w:r>
              <w:rPr>
                <w:sz w:val="20"/>
                <w:szCs w:val="20"/>
              </w:rPr>
              <w:t>2.97%</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8D421BA" w14:textId="77777777" w:rsidR="008A06AC" w:rsidRDefault="00000000">
            <w:pPr>
              <w:jc w:val="center"/>
            </w:pPr>
            <w:r>
              <w:rPr>
                <w:sz w:val="20"/>
                <w:szCs w:val="20"/>
              </w:rPr>
              <w:t>0.59%</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D1EA8FF" w14:textId="77777777" w:rsidR="008A06AC" w:rsidRDefault="00000000">
            <w:pPr>
              <w:jc w:val="center"/>
            </w:pPr>
            <w:r>
              <w:rPr>
                <w:sz w:val="20"/>
                <w:szCs w:val="20"/>
              </w:rPr>
              <w:t>23.01%</w:t>
            </w:r>
          </w:p>
        </w:tc>
      </w:tr>
      <w:tr w:rsidR="008A06AC" w14:paraId="07F64E9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83FF6" w14:textId="77777777" w:rsidR="008A06AC" w:rsidRDefault="00000000">
            <w:r>
              <w:rPr>
                <w:sz w:val="20"/>
                <w:szCs w:val="20"/>
              </w:rPr>
              <w:t>Infosys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A9F39" w14:textId="77777777" w:rsidR="008A06AC" w:rsidRDefault="00000000">
            <w:pPr>
              <w:jc w:val="center"/>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B4C43" w14:textId="77777777" w:rsidR="008A06AC" w:rsidRDefault="00000000">
            <w:pPr>
              <w:jc w:val="center"/>
            </w:pPr>
            <w:r>
              <w:rPr>
                <w:sz w:val="20"/>
                <w:szCs w:val="20"/>
              </w:rPr>
              <w:t>2.90%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9783C" w14:textId="77777777" w:rsidR="008A06AC" w:rsidRDefault="00000000">
            <w:pPr>
              <w:jc w:val="center"/>
            </w:pPr>
            <w:r>
              <w:rPr>
                <w:sz w:val="20"/>
                <w:szCs w:val="20"/>
              </w:rPr>
              <w:t>0.58%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68418" w14:textId="77777777" w:rsidR="008A06AC" w:rsidRDefault="00000000">
            <w:pPr>
              <w:jc w:val="center"/>
            </w:pPr>
            <w:r>
              <w:rPr>
                <w:sz w:val="20"/>
                <w:szCs w:val="20"/>
              </w:rPr>
              <w:t>22.47%</w:t>
            </w:r>
          </w:p>
        </w:tc>
      </w:tr>
      <w:tr w:rsidR="008A06AC" w14:paraId="08920AF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F317702" w14:textId="77777777" w:rsidR="008A06AC" w:rsidRDefault="00000000">
            <w:r>
              <w:rPr>
                <w:sz w:val="20"/>
                <w:szCs w:val="20"/>
              </w:rPr>
              <w:t>Tata Consultancy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7AF4923" w14:textId="77777777" w:rsidR="008A06AC" w:rsidRDefault="00000000">
            <w:pPr>
              <w:jc w:val="center"/>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1A95B383" w14:textId="77777777" w:rsidR="008A06AC" w:rsidRDefault="00000000">
            <w:pPr>
              <w:jc w:val="center"/>
            </w:pPr>
            <w:r>
              <w:rPr>
                <w:sz w:val="20"/>
                <w:szCs w:val="20"/>
              </w:rPr>
              <w:t>2.52%</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C145C5D" w14:textId="77777777" w:rsidR="008A06AC" w:rsidRDefault="00000000">
            <w:pPr>
              <w:jc w:val="center"/>
            </w:pPr>
            <w:r>
              <w:rPr>
                <w:sz w:val="20"/>
                <w:szCs w:val="20"/>
              </w:rPr>
              <w:t>0.50%</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4284955" w14:textId="77777777" w:rsidR="008A06AC" w:rsidRDefault="00000000">
            <w:pPr>
              <w:jc w:val="center"/>
            </w:pPr>
            <w:r>
              <w:rPr>
                <w:sz w:val="20"/>
                <w:szCs w:val="20"/>
              </w:rPr>
              <w:t>19.58%</w:t>
            </w:r>
          </w:p>
        </w:tc>
      </w:tr>
      <w:tr w:rsidR="008A06AC" w14:paraId="0D0D1A9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A507C" w14:textId="77777777" w:rsidR="008A06AC" w:rsidRDefault="00000000">
            <w:r>
              <w:rPr>
                <w:sz w:val="20"/>
                <w:szCs w:val="20"/>
              </w:rPr>
              <w:t>HDFC Bank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E80D6" w14:textId="77777777" w:rsidR="008A06AC" w:rsidRDefault="00000000">
            <w:pPr>
              <w:jc w:val="center"/>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158C6" w14:textId="77777777" w:rsidR="008A06AC" w:rsidRDefault="00000000">
            <w:pPr>
              <w:jc w:val="center"/>
            </w:pPr>
            <w:r>
              <w:rPr>
                <w:sz w:val="20"/>
                <w:szCs w:val="20"/>
              </w:rPr>
              <w:t>2.43%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78543" w14:textId="77777777" w:rsidR="008A06AC" w:rsidRDefault="00000000">
            <w:pPr>
              <w:jc w:val="center"/>
            </w:pPr>
            <w:r>
              <w:rPr>
                <w:sz w:val="20"/>
                <w:szCs w:val="20"/>
              </w:rPr>
              <w:t>0.49%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0334E" w14:textId="77777777" w:rsidR="008A06AC" w:rsidRDefault="00000000">
            <w:pPr>
              <w:jc w:val="center"/>
            </w:pPr>
            <w:r>
              <w:rPr>
                <w:sz w:val="20"/>
                <w:szCs w:val="20"/>
              </w:rPr>
              <w:t>18.82%</w:t>
            </w:r>
          </w:p>
        </w:tc>
      </w:tr>
      <w:tr w:rsidR="008A06AC" w14:paraId="6CA5D91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AC2ECB9" w14:textId="77777777" w:rsidR="008A06AC" w:rsidRDefault="00000000">
            <w:r>
              <w:rPr>
                <w:sz w:val="20"/>
                <w:szCs w:val="20"/>
              </w:rPr>
              <w:t>ITC</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300606E" w14:textId="77777777" w:rsidR="008A06AC" w:rsidRDefault="00000000">
            <w:pPr>
              <w:jc w:val="center"/>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0803307" w14:textId="77777777" w:rsidR="008A06AC" w:rsidRDefault="00000000">
            <w:pPr>
              <w:jc w:val="center"/>
            </w:pPr>
            <w:r>
              <w:rPr>
                <w:sz w:val="20"/>
                <w:szCs w:val="20"/>
              </w:rPr>
              <w:t>2.08%</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1326FEE" w14:textId="77777777" w:rsidR="008A06AC" w:rsidRDefault="00000000">
            <w:pPr>
              <w:jc w:val="center"/>
            </w:pPr>
            <w:r>
              <w:rPr>
                <w:sz w:val="20"/>
                <w:szCs w:val="20"/>
              </w:rPr>
              <w:t>0.42%</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6FCD5E0" w14:textId="77777777" w:rsidR="008A06AC" w:rsidRDefault="00000000">
            <w:pPr>
              <w:jc w:val="center"/>
            </w:pPr>
            <w:r>
              <w:rPr>
                <w:sz w:val="20"/>
                <w:szCs w:val="20"/>
              </w:rPr>
              <w:t>16.12%</w:t>
            </w:r>
          </w:p>
        </w:tc>
      </w:tr>
      <w:tr w:rsidR="008A06AC" w14:paraId="29B672E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69569" w14:textId="77777777" w:rsidR="008A06AC" w:rsidRDefault="00000000">
            <w:r>
              <w:rPr>
                <w:b/>
                <w:bCs/>
                <w:sz w:val="20"/>
                <w:szCs w:val="20"/>
              </w:rPr>
              <w:t>Portfolio 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EA468" w14:textId="77777777" w:rsidR="008A06AC" w:rsidRDefault="00000000">
            <w:pPr>
              <w:jc w:val="center"/>
            </w:pPr>
            <w:r>
              <w:rPr>
                <w:b/>
                <w:bCs/>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5D34B" w14:textId="77777777" w:rsidR="008A06AC" w:rsidRDefault="00000000">
            <w:pPr>
              <w:jc w:val="center"/>
            </w:pPr>
            <w:r>
              <w:rPr>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7AFDA" w14:textId="77777777" w:rsidR="008A06AC" w:rsidRDefault="00000000">
            <w:pPr>
              <w:jc w:val="center"/>
            </w:pPr>
            <w:r>
              <w:rPr>
                <w:b/>
                <w:bCs/>
                <w:sz w:val="20"/>
                <w:szCs w:val="20"/>
              </w:rPr>
              <w:t>2.58%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1FC3D" w14:textId="77777777" w:rsidR="008A06AC" w:rsidRDefault="00000000">
            <w:pPr>
              <w:jc w:val="center"/>
            </w:pPr>
            <w:r>
              <w:rPr>
                <w:b/>
                <w:bCs/>
                <w:sz w:val="20"/>
                <w:szCs w:val="20"/>
              </w:rPr>
              <w:t>100%</w:t>
            </w:r>
          </w:p>
        </w:tc>
      </w:tr>
    </w:tbl>
    <w:p w14:paraId="57639B81" w14:textId="77777777" w:rsidR="008A06AC" w:rsidRDefault="008A06AC">
      <w:pPr>
        <w:spacing w:before="80" w:after="80"/>
      </w:pPr>
    </w:p>
    <w:p w14:paraId="2351808D" w14:textId="77777777" w:rsidR="008A06AC" w:rsidRDefault="00000000">
      <w:pPr>
        <w:pStyle w:val="Heading1"/>
        <w:pBdr>
          <w:bottom w:val="single" w:sz="8" w:space="4" w:color="2E75B6"/>
        </w:pBdr>
      </w:pPr>
      <w:r>
        <w:t>7. Stress Testing &amp; Scenario Analysis</w:t>
      </w:r>
    </w:p>
    <w:p w14:paraId="08BD6F27" w14:textId="77777777" w:rsidR="008A06AC" w:rsidRDefault="00000000">
      <w:pPr>
        <w:spacing w:before="80" w:after="80" w:line="276" w:lineRule="auto"/>
        <w:jc w:val="both"/>
      </w:pPr>
      <w:r>
        <w:t>While VaR captures risk under normal market conditions using historical return distributions, it cannot anticipate specific crisis events or structural market breaks. Stress testing complements VaR by estimating portfolio P&amp;L under defined extreme scenarios, whether drawn from history or constructed hypothetically.</w:t>
      </w:r>
    </w:p>
    <w:p w14:paraId="665DDB0C" w14:textId="77777777" w:rsidR="008A06AC" w:rsidRDefault="008A06AC">
      <w:pPr>
        <w:spacing w:before="80" w:after="80"/>
      </w:pPr>
    </w:p>
    <w:p w14:paraId="39A937D2" w14:textId="77777777" w:rsidR="008A06AC" w:rsidRDefault="00000000">
      <w:pPr>
        <w:pStyle w:val="Heading2"/>
      </w:pPr>
      <w:r>
        <w:t>7.1  Historical Scenarios</w:t>
      </w:r>
    </w:p>
    <w:p w14:paraId="2BCF52AD" w14:textId="7C8FE115" w:rsidR="008A06AC" w:rsidRDefault="00000000">
      <w:pPr>
        <w:spacing w:before="80" w:after="80" w:line="276" w:lineRule="auto"/>
        <w:jc w:val="both"/>
      </w:pPr>
      <w:r>
        <w:t>Two historical scenarios were applied. The COVID-19 crash (February</w:t>
      </w:r>
      <w:r w:rsidR="00980383">
        <w:t xml:space="preserve"> - </w:t>
      </w:r>
      <w:r>
        <w:t xml:space="preserve">March 2020) represents the sharpest short-term equity selloff in recent history, resulting in a portfolio loss of </w:t>
      </w:r>
      <w:r w:rsidR="00980383">
        <w:t>-</w:t>
      </w:r>
      <w:r>
        <w:t>24.34% over the period. The 2022 global rate shock (June</w:t>
      </w:r>
      <w:r w:rsidR="00980383">
        <w:t xml:space="preserve"> - </w:t>
      </w:r>
      <w:r>
        <w:t>October 2022) reflects the impact of aggressive monetary tightening on equity valuations, a risk particularly relevant given the current rate environment.</w:t>
      </w:r>
    </w:p>
    <w:p w14:paraId="4BA37317" w14:textId="77777777" w:rsidR="008A06AC" w:rsidRDefault="008A06AC">
      <w:pPr>
        <w:spacing w:before="80" w:after="80"/>
      </w:pPr>
    </w:p>
    <w:p w14:paraId="588314B1" w14:textId="77777777" w:rsidR="008A06AC" w:rsidRDefault="00000000">
      <w:pPr>
        <w:pStyle w:val="Heading2"/>
      </w:pPr>
      <w:r>
        <w:t>7.2  Hypothetical Scenarios</w:t>
      </w:r>
    </w:p>
    <w:p w14:paraId="37BDB440" w14:textId="77777777" w:rsidR="008A06AC" w:rsidRDefault="00000000">
      <w:pPr>
        <w:spacing w:before="80" w:after="80" w:line="276" w:lineRule="auto"/>
        <w:jc w:val="both"/>
      </w:pPr>
      <w:r>
        <w:t>Three hypothetical scenarios were constructed to test specific risk concentrations. A broad Nifty −10% shock applies uniform losses across all positions, testing overall market beta (result: −10.00%). An IT sector selloff of −15% applied to TCS and Infosys tests concentration risk in the technology sector (result: −6.00%). A banking crisis scenario applying a −20% shock to HDFC Bank isolates single-stock concentration risk (result: −4.00%). Results are consistent with the portfolio's equal-weight structure.</w:t>
      </w:r>
    </w:p>
    <w:p w14:paraId="03B8CEF3" w14:textId="77777777" w:rsidR="008A06AC" w:rsidRDefault="008A06AC">
      <w:pPr>
        <w:spacing w:before="80" w:after="80"/>
      </w:pPr>
    </w:p>
    <w:p w14:paraId="63E7EFA1" w14:textId="77777777" w:rsidR="008A06AC" w:rsidRDefault="00000000">
      <w:pPr>
        <w:pStyle w:val="Heading1"/>
        <w:pBdr>
          <w:bottom w:val="single" w:sz="8" w:space="4" w:color="2E75B6"/>
        </w:pBdr>
      </w:pPr>
      <w:r>
        <w:t>8. Limitations &amp; Future Work</w:t>
      </w:r>
    </w:p>
    <w:p w14:paraId="53E0EBE6" w14:textId="77777777" w:rsidR="008A06AC" w:rsidRDefault="00000000">
      <w:pPr>
        <w:spacing w:before="80" w:after="80" w:line="276" w:lineRule="auto"/>
        <w:jc w:val="both"/>
      </w:pPr>
      <w:r>
        <w:t>Several limitations should be noted. The Parametric method assumes normally distributed returns, systematically underestimating tail risk, a known weakness addressed partially by the Monte Carlo t-distribution approach. The model produces point estimates of VaR rather than confidence intervals, meaning uncertainty around the VaR estimate itself is not quantified. Backtesting uses a simple breach count against Basel traffic light thresholds rather than formal statistical tests such as the Kupiec likelihood ratio test or the Christoffersen conditional coverage test, which would provide more rigorous model validation. The stress testing scenarios are limited to five events and do not account for multi-factor shocks, liquidity risk, or correlation breakdown during crises.</w:t>
      </w:r>
    </w:p>
    <w:p w14:paraId="76C6AC6B" w14:textId="77777777" w:rsidR="008A06AC" w:rsidRDefault="008A06AC">
      <w:pPr>
        <w:spacing w:before="80" w:after="80"/>
      </w:pPr>
    </w:p>
    <w:p w14:paraId="3ED18B38" w14:textId="77777777" w:rsidR="008A06AC" w:rsidRDefault="00000000">
      <w:pPr>
        <w:spacing w:before="80" w:after="80" w:line="276" w:lineRule="auto"/>
        <w:jc w:val="both"/>
      </w:pPr>
      <w:r>
        <w:t>Future enhancements would include: GARCH(1,1) volatility modelling to capture volatility clustering; Extreme Value Theory (EVT) for more accurate tail estimation; the Kupiec and Christoffersen backtests for formal statistical validation; a rolling VaR term structure showing how risk evolves over time; and extension to a multi-asset class portfolio incorporating fixed income and FX positions.</w:t>
      </w:r>
    </w:p>
    <w:p w14:paraId="07D6B10C" w14:textId="77777777" w:rsidR="008A06AC" w:rsidRDefault="008A06AC">
      <w:pPr>
        <w:spacing w:before="80" w:after="80"/>
      </w:pPr>
    </w:p>
    <w:sectPr w:rsidR="008A06A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5B9CA" w14:textId="77777777" w:rsidR="00031776" w:rsidRDefault="00031776">
      <w:r>
        <w:separator/>
      </w:r>
    </w:p>
  </w:endnote>
  <w:endnote w:type="continuationSeparator" w:id="0">
    <w:p w14:paraId="156EC16B" w14:textId="77777777" w:rsidR="00031776" w:rsidRDefault="00031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F3FA" w14:textId="77777777" w:rsidR="008A06AC" w:rsidRDefault="00000000">
    <w:pPr>
      <w:pBdr>
        <w:top w:val="single" w:sz="4" w:space="4" w:color="CCCCCC"/>
      </w:pBdr>
      <w:spacing w:before="80"/>
    </w:pPr>
    <w:r>
      <w:rPr>
        <w:color w:val="595959"/>
        <w:sz w:val="18"/>
        <w:szCs w:val="18"/>
      </w:rPr>
      <w:t xml:space="preserve">Confidential | For Academic and Interview Use Only     Page </w:t>
    </w:r>
    <w:r>
      <w:fldChar w:fldCharType="begin"/>
    </w:r>
    <w:r>
      <w:instrText>PAGE</w:instrText>
    </w:r>
    <w:r>
      <w:fldChar w:fldCharType="separate"/>
    </w:r>
    <w:r w:rsidR="00A652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4074C" w14:textId="77777777" w:rsidR="00031776" w:rsidRDefault="00031776">
      <w:r>
        <w:separator/>
      </w:r>
    </w:p>
  </w:footnote>
  <w:footnote w:type="continuationSeparator" w:id="0">
    <w:p w14:paraId="1A55380A" w14:textId="77777777" w:rsidR="00031776" w:rsidRDefault="00031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2D1F" w14:textId="77777777" w:rsidR="008A06AC" w:rsidRDefault="00000000">
    <w:pPr>
      <w:pBdr>
        <w:bottom w:val="single" w:sz="6" w:space="4" w:color="2E75B6"/>
      </w:pBdr>
      <w:spacing w:after="120"/>
    </w:pPr>
    <w:r>
      <w:rPr>
        <w:color w:val="595959"/>
        <w:sz w:val="18"/>
        <w:szCs w:val="18"/>
      </w:rPr>
      <w:t>NSE Risk Desk  |  Market Risk Methodology Report</w:t>
    </w:r>
    <w:r>
      <w:rPr>
        <w:i/>
        <w:iCs/>
        <w:color w:val="595959"/>
        <w:sz w:val="18"/>
        <w:szCs w:val="18"/>
      </w:rPr>
      <w:t xml:space="preserve">  |  Yusuf Sayeed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B6E4E"/>
    <w:multiLevelType w:val="hybridMultilevel"/>
    <w:tmpl w:val="114866C4"/>
    <w:lvl w:ilvl="0" w:tplc="DA7672AE">
      <w:start w:val="1"/>
      <w:numFmt w:val="bullet"/>
      <w:lvlText w:val="●"/>
      <w:lvlJc w:val="left"/>
      <w:pPr>
        <w:ind w:left="720" w:hanging="360"/>
      </w:pPr>
    </w:lvl>
    <w:lvl w:ilvl="1" w:tplc="01C88CD8">
      <w:start w:val="1"/>
      <w:numFmt w:val="bullet"/>
      <w:lvlText w:val="○"/>
      <w:lvlJc w:val="left"/>
      <w:pPr>
        <w:ind w:left="1440" w:hanging="360"/>
      </w:pPr>
    </w:lvl>
    <w:lvl w:ilvl="2" w:tplc="CBF65A24">
      <w:start w:val="1"/>
      <w:numFmt w:val="bullet"/>
      <w:lvlText w:val="■"/>
      <w:lvlJc w:val="left"/>
      <w:pPr>
        <w:ind w:left="2160" w:hanging="360"/>
      </w:pPr>
    </w:lvl>
    <w:lvl w:ilvl="3" w:tplc="A65A3834">
      <w:start w:val="1"/>
      <w:numFmt w:val="bullet"/>
      <w:lvlText w:val="●"/>
      <w:lvlJc w:val="left"/>
      <w:pPr>
        <w:ind w:left="2880" w:hanging="360"/>
      </w:pPr>
    </w:lvl>
    <w:lvl w:ilvl="4" w:tplc="6AB4FACC">
      <w:start w:val="1"/>
      <w:numFmt w:val="bullet"/>
      <w:lvlText w:val="○"/>
      <w:lvlJc w:val="left"/>
      <w:pPr>
        <w:ind w:left="3600" w:hanging="360"/>
      </w:pPr>
    </w:lvl>
    <w:lvl w:ilvl="5" w:tplc="FAAA02AA">
      <w:start w:val="1"/>
      <w:numFmt w:val="bullet"/>
      <w:lvlText w:val="■"/>
      <w:lvlJc w:val="left"/>
      <w:pPr>
        <w:ind w:left="4320" w:hanging="360"/>
      </w:pPr>
    </w:lvl>
    <w:lvl w:ilvl="6" w:tplc="8C8A27A8">
      <w:start w:val="1"/>
      <w:numFmt w:val="bullet"/>
      <w:lvlText w:val="●"/>
      <w:lvlJc w:val="left"/>
      <w:pPr>
        <w:ind w:left="5040" w:hanging="360"/>
      </w:pPr>
    </w:lvl>
    <w:lvl w:ilvl="7" w:tplc="E1FC106E">
      <w:start w:val="1"/>
      <w:numFmt w:val="bullet"/>
      <w:lvlText w:val="●"/>
      <w:lvlJc w:val="left"/>
      <w:pPr>
        <w:ind w:left="5760" w:hanging="360"/>
      </w:pPr>
    </w:lvl>
    <w:lvl w:ilvl="8" w:tplc="B0E28472">
      <w:start w:val="1"/>
      <w:numFmt w:val="bullet"/>
      <w:lvlText w:val="●"/>
      <w:lvlJc w:val="left"/>
      <w:pPr>
        <w:ind w:left="6480" w:hanging="360"/>
      </w:pPr>
    </w:lvl>
  </w:abstractNum>
  <w:num w:numId="1" w16cid:durableId="1863594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AC"/>
    <w:rsid w:val="00031776"/>
    <w:rsid w:val="00232998"/>
    <w:rsid w:val="008A06AC"/>
    <w:rsid w:val="00980383"/>
    <w:rsid w:val="00A65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A0BE"/>
  <w15:docId w15:val="{5E21E22D-FFB6-4DE1-92F5-FD297FBB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Sayeed</cp:lastModifiedBy>
  <cp:revision>2</cp:revision>
  <dcterms:created xsi:type="dcterms:W3CDTF">2026-06-18T20:35:00Z</dcterms:created>
  <dcterms:modified xsi:type="dcterms:W3CDTF">2026-06-20T17:55:00Z</dcterms:modified>
</cp:coreProperties>
</file>