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sz w:val="24"/>
        </w:rPr>
        <w:t xml:space="preserve">Rocky seeks repayment from Grace, the promised $10,000 and protection from AMPL’s call. He must also answer any claim that he failed to lend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by 15 February</w:t>
      </w:r>
      <w:r>
        <w:rPr>
          <w:rFonts w:ascii="Times New Roman" w:hAnsi="Times New Roman"/>
          <w:sz w:val="24"/>
        </w:rPr>
        <w:t xml:space="preserve">’</w:t>
      </w:r>
      <w:r>
        <w:rPr>
          <w:rFonts w:ascii="Times New Roman" w:hAnsi="Times New Roman"/>
          <w:sz w:val="24"/>
        </w:rPr>
        <w:t xml:space="preserve">.</w:t>
      </w:r>
    </w:p>
    <w:bookmarkStart w:id="36" w:name="i.-rocky-v-grace"/>
    <w:p>
      <w:pPr>
        <w:pStyle w:val="Heading2"/>
      </w:pPr>
      <w:r>
        <w:rPr>
          <w:rFonts w:ascii="Times New Roman" w:hAnsi="Times New Roman"/>
        </w:rPr>
        <w:t xml:space="preserve">I. ROCKY v GRACE</w:t>
      </w:r>
    </w:p>
    <w:p>
      <w:pPr>
        <w:pStyle w:val="FirstParagraph"/>
      </w:pPr>
      <w:r>
        <w:rPr>
          <w:rFonts w:ascii="Times New Roman" w:hAnsi="Times New Roman"/>
          <w:sz w:val="24"/>
        </w:rPr>
        <w:t xml:space="preserve">The first issue is whether Rocky’s 12 February email was an offer. Rocky would say it merely minutes their meeting: it opens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 and its other points promise nothing. Yet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fixes the amount, date, term and rate,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invites assent: unlike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 those words are promissory.</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The first point is likely an offer, subject to its qualifier.</w:t>
      </w:r>
    </w:p>
    <w:p>
      <w:pPr>
        <w:pStyle w:val="BodyText"/>
      </w:pPr>
      <w:r>
        <w:rPr>
          <w:rFonts w:ascii="Times New Roman" w:hAnsi="Times New Roman"/>
          <w:sz w:val="24"/>
        </w:rPr>
        <w:t xml:space="preserve">On acceptance, Rocky may say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vouched only for the email’s accuracy, which 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 of assent to an offer</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However, it answered a request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 agreement</w:t>
      </w:r>
      <w:r>
        <w:rPr>
          <w:rFonts w:ascii="Times New Roman" w:hAnsi="Times New Roman"/>
          <w:sz w:val="24"/>
        </w:rPr>
        <w:t xml:space="preserve">’</w:t>
      </w:r>
      <w:r>
        <w:rPr>
          <w:rFonts w:ascii="Times New Roman" w:hAnsi="Times New Roman"/>
          <w:sz w:val="24"/>
        </w:rPr>
        <w:t xml:space="preserve">; adding no terms,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was no counter-offer and so accepted the first point, qualifier included.</w:t>
      </w:r>
    </w:p>
    <w:p>
      <w:pPr>
        <w:pStyle w:val="BodyText"/>
      </w:pPr>
      <w:r>
        <w:rPr>
          <w:rFonts w:ascii="Times New Roman" w:hAnsi="Times New Roman"/>
          <w:sz w:val="24"/>
        </w:rPr>
        <w:t xml:space="preserve">The qualifier,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 raises intention to create legal relations and certainty. Intention is judged objectively, the onus lying on Grace, who alleges a contract, though the parties’ status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 developers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favours it;</w:t>
      </w:r>
      <w:r>
        <w:rPr>
          <w:rStyle w:val="FootnoteReference"/>
          <w:rFonts w:ascii="Times New Roman" w:hAnsi="Times New Roman"/>
          <w:sz w:val="24"/>
        </w:rPr>
        <w:footnoteReference w:id="22"/>
      </w:r>
      <w:r>
        <w:rPr>
          <w:rFonts w:ascii="Times New Roman" w:hAnsi="Times New Roman"/>
          <w:sz w:val="24"/>
        </w:rPr>
        <w:t xml:space="preserve"> </w:t>
      </w:r>
      <w:r>
        <w:rPr>
          <w:rFonts w:ascii="Times New Roman" w:hAnsi="Times New Roman"/>
          <w:sz w:val="24"/>
        </w:rPr>
        <w:t xml:space="preserve">absent a stipulated formal contract, the question is whether terms were to be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put into form</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a new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3"/>
      </w:r>
      <w:r>
        <w:rPr>
          <w:rFonts w:ascii="Times New Roman" w:hAnsi="Times New Roman"/>
          <w:sz w:val="24"/>
        </w:rPr>
        <w:t xml:space="preserve"> </w:t>
      </w:r>
      <w:r>
        <w:rPr>
          <w:rFonts w:ascii="Times New Roman" w:hAnsi="Times New Roman"/>
          <w:sz w:val="24"/>
        </w:rPr>
        <w:t xml:space="preserve">Grace’s best case is</w:t>
      </w:r>
      <w:r>
        <w:rPr>
          <w:rFonts w:ascii="Times New Roman" w:hAnsi="Times New Roman"/>
          <w:sz w:val="24"/>
        </w:rPr>
        <w:t xml:space="preserve"> </w:t>
      </w:r>
      <w:r>
        <w:rPr>
          <w:iCs/>
          <w:rFonts w:ascii="Times New Roman" w:hAnsi="Times New Roman"/>
          <w:i/>
          <w:sz w:val="24"/>
        </w:rPr>
        <w:t xml:space="preserve">Godecke</w:t>
      </w:r>
      <w:r>
        <w:rPr>
          <w:rFonts w:ascii="Times New Roman" w:hAnsi="Times New Roman"/>
          <w:sz w:val="24"/>
        </w:rPr>
        <w:t xml:space="preserve">, where an agreement letting the vendor’s solicitors add terms bound, those terms having to be reasonable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an objective sense</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4"/>
      </w:r>
      <w:r>
        <w:rPr>
          <w:rFonts w:ascii="Times New Roman" w:hAnsi="Times New Roman"/>
          <w:sz w:val="24"/>
        </w:rPr>
        <w:t xml:space="preserve"> </w:t>
      </w:r>
      <w:r>
        <w:rPr>
          <w:rFonts w:ascii="Times New Roman" w:hAnsi="Times New Roman"/>
          <w:sz w:val="24"/>
        </w:rPr>
        <w:t xml:space="preserve">Rocky’s words contain no such standard: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leaves the judgment to the party the condition protects,</w:t>
      </w:r>
      <w:r>
        <w:rPr>
          <w:rStyle w:val="FootnoteReference"/>
          <w:rFonts w:ascii="Times New Roman" w:hAnsi="Times New Roman"/>
          <w:sz w:val="24"/>
        </w:rPr>
        <w:footnoteReference w:id="25"/>
      </w:r>
      <w:r>
        <w:rPr>
          <w:rFonts w:ascii="Times New Roman" w:hAnsi="Times New Roman"/>
          <w:sz w:val="24"/>
        </w:rPr>
        <w:t xml:space="preserve"> </w:t>
      </w:r>
      <w:r>
        <w:rPr>
          <w:rFonts w:ascii="Times New Roman" w:hAnsi="Times New Roman"/>
          <w:sz w:val="24"/>
        </w:rPr>
        <w:t xml:space="preserve">Rocky; and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conditions</w:t>
      </w:r>
      <w:r>
        <w:rPr>
          <w:rFonts w:ascii="Times New Roman" w:hAnsi="Times New Roman"/>
          <w:sz w:val="24"/>
        </w:rPr>
        <w:t xml:space="preserve">’</w:t>
      </w:r>
      <w:r>
        <w:rPr>
          <w:rFonts w:ascii="Times New Roman" w:hAnsi="Times New Roman"/>
          <w:sz w:val="24"/>
        </w:rPr>
        <w:t xml:space="preserve">, naming no outside event, are most naturally unstated terms of his own loan, likely left to a new agreement. Gibbs J doubted that an agreement leaving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further terms to be settled by one of the parties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would bind, leaving open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subsidiary matters</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6"/>
      </w:r>
      <w:r>
        <w:rPr>
          <w:rFonts w:ascii="Times New Roman" w:hAnsi="Times New Roman"/>
          <w:sz w:val="24"/>
        </w:rPr>
        <w:t xml:space="preserve"> </w:t>
      </w:r>
      <w:r>
        <w:rPr>
          <w:rFonts w:ascii="Times New Roman" w:hAnsi="Times New Roman"/>
          <w:sz w:val="24"/>
        </w:rPr>
        <w:t xml:space="preserve">the terms of the loan itself are not subsidiary.</w:t>
      </w:r>
    </w:p>
    <w:p>
      <w:pPr>
        <w:pStyle w:val="BodyText"/>
      </w:pPr>
      <w:r>
        <w:rPr>
          <w:rFonts w:ascii="Times New Roman" w:hAnsi="Times New Roman"/>
          <w:sz w:val="24"/>
        </w:rPr>
        <w:t xml:space="preserve">On certainty, Grace would reply that, as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Rocky had to decide honestly:</w:t>
      </w:r>
      <w:r>
        <w:rPr>
          <w:rStyle w:val="FootnoteReference"/>
          <w:rFonts w:ascii="Times New Roman" w:hAnsi="Times New Roman"/>
          <w:sz w:val="24"/>
        </w:rPr>
        <w:footnoteReference w:id="27"/>
      </w:r>
      <w:r>
        <w:rPr>
          <w:rFonts w:ascii="Times New Roman" w:hAnsi="Times New Roman"/>
          <w:sz w:val="24"/>
        </w:rPr>
        <w:t xml:space="preserve"> </w:t>
      </w:r>
      <w:r>
        <w:rPr>
          <w:rFonts w:ascii="Times New Roman" w:hAnsi="Times New Roman"/>
          <w:sz w:val="24"/>
        </w:rPr>
        <w:t xml:space="preserve">that limit takes a case out of the principle that a promisor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discretion or option as to whether he will carry out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his promise makes no contract.</w:t>
      </w:r>
      <w:r>
        <w:rPr>
          <w:rStyle w:val="FootnoteReference"/>
          <w:rFonts w:ascii="Times New Roman" w:hAnsi="Times New Roman"/>
          <w:sz w:val="24"/>
        </w:rPr>
        <w:footnoteReference w:id="28"/>
      </w:r>
      <w:r>
        <w:rPr>
          <w:rFonts w:ascii="Times New Roman" w:hAnsi="Times New Roman"/>
          <w:sz w:val="24"/>
        </w:rPr>
        <w:t xml:space="preserve"> </w:t>
      </w:r>
      <w:r>
        <w:rPr>
          <w:rFonts w:ascii="Times New Roman" w:hAnsi="Times New Roman"/>
          <w:sz w:val="24"/>
        </w:rPr>
        <w:t xml:space="preserve">Yet honesty there governed a judgment on an external condition, finance, whereas Rocky’s went to the content of his own loan,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to the fulfilment of a condition</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and honesty cannot supply unstated loan terms. His promise is thus arguably illusory. The email likely bound neither party, unless the conditions were settled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morning</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Even a binding email gives Rocky no claim unless AMPL’s advance performed his promise. His 27 February request suggests so, a principal being party to his agent’s contracts;</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yet AMPL advanced $1,150,000, not $1 million, and took his guarantee, so it did not contract for Rocky as well as for itself.</w:t>
      </w:r>
      <w:r>
        <w:rPr>
          <w:rStyle w:val="FootnoteReference"/>
          <w:rFonts w:ascii="Times New Roman" w:hAnsi="Times New Roman"/>
          <w:sz w:val="24"/>
        </w:rPr>
        <w:footnoteReference w:id="31"/>
      </w:r>
      <w:r>
        <w:rPr>
          <w:rFonts w:ascii="Times New Roman" w:hAnsi="Times New Roman"/>
          <w:sz w:val="24"/>
        </w:rPr>
        <w:t xml:space="preserve"> </w:t>
      </w:r>
      <w:r>
        <w:rPr>
          <w:rFonts w:ascii="Times New Roman" w:hAnsi="Times New Roman"/>
          <w:sz w:val="24"/>
        </w:rPr>
        <w:t xml:space="preserve">Rocky therefore lent nothing.</w:t>
      </w:r>
    </w:p>
    <w:p>
      <w:pPr>
        <w:pStyle w:val="BodyText"/>
      </w:pPr>
      <w:r>
        <w:rPr>
          <w:rFonts w:ascii="Times New Roman" w:hAnsi="Times New Roman"/>
          <w:sz w:val="24"/>
        </w:rPr>
        <w:t xml:space="preserve">Rocky’s demand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 Agreement with AMPL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raises privity: only a party who provided consideration may sue on a contract.</w:t>
      </w:r>
      <w:r>
        <w:rPr>
          <w:rStyle w:val="FootnoteReference"/>
          <w:rFonts w:ascii="Times New Roman" w:hAnsi="Times New Roman"/>
          <w:sz w:val="24"/>
        </w:rPr>
        <w:footnoteReference w:id="32"/>
      </w:r>
      <w:r>
        <w:rPr>
          <w:rFonts w:ascii="Times New Roman" w:hAnsi="Times New Roman"/>
          <w:sz w:val="24"/>
        </w:rPr>
        <w:t xml:space="preserve"> </w:t>
      </w:r>
      <w:r>
        <w:rPr>
          <w:rFonts w:ascii="Times New Roman" w:hAnsi="Times New Roman"/>
          <w:sz w:val="24"/>
        </w:rPr>
        <w:t xml:space="preserve">Party status turns 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written instrument itself</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3"/>
      </w:r>
      <w:r>
        <w:rPr>
          <w:rFonts w:ascii="Times New Roman" w:hAnsi="Times New Roman"/>
          <w:sz w:val="24"/>
        </w:rPr>
        <w:t xml:space="preserve"> </w:t>
      </w:r>
      <w:r>
        <w:rPr>
          <w:rFonts w:ascii="Times New Roman" w:hAnsi="Times New Roman"/>
          <w:sz w:val="24"/>
        </w:rPr>
        <w:t xml:space="preserve">which AMPL and Grace made: Grace’s promises in it were the price of AMPL’s own promises, none made to Rocky as a joint promisee.</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right in result but not in reason: Mrs Coulls signed yet was no party.</w:t>
      </w:r>
      <w:r>
        <w:rPr>
          <w:rStyle w:val="FootnoteReference"/>
          <w:rFonts w:ascii="Times New Roman" w:hAnsi="Times New Roman"/>
          <w:sz w:val="24"/>
        </w:rPr>
        <w:footnoteReference w:id="35"/>
      </w:r>
    </w:p>
    <w:p>
      <w:pPr>
        <w:pStyle w:val="BodyText"/>
      </w:pPr>
      <w:r>
        <w:rPr>
          <w:rFonts w:ascii="Times New Roman" w:hAnsi="Times New Roman"/>
          <w:sz w:val="24"/>
        </w:rPr>
        <w:t xml:space="preserve">Rocky’s 5 March demand, arguably premised on a 27 February start, therefore fails whenever the 12 months began, and Grace likely has no claim against him. Nor did Grace promise to reimburse anything Rocky pays AMPL.</w:t>
      </w:r>
    </w:p>
    <w:bookmarkEnd w:id="36"/>
    <w:bookmarkStart w:id="63" w:name="ii.-rocky-v-ampl-alternatively-pierre"/>
    <w:p>
      <w:pPr>
        <w:pStyle w:val="Heading2"/>
      </w:pPr>
      <w:r>
        <w:rPr>
          <w:rFonts w:ascii="Times New Roman" w:hAnsi="Times New Roman"/>
        </w:rPr>
        <w:t xml:space="preserve">II. ROCKY v AMPL (ALTERNATIVELY PIERRE)</w:t>
      </w:r>
    </w:p>
    <w:p>
      <w:pPr>
        <w:pStyle w:val="FirstParagraph"/>
      </w:pPr>
      <w:r>
        <w:rPr>
          <w:rFonts w:ascii="Times New Roman" w:hAnsi="Times New Roman"/>
          <w:sz w:val="24"/>
        </w:rPr>
        <w:t xml:space="preserve">The first issue is whether a contract for the $10,000 formed on 8 April. What Pierre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promised nothing, so it was likely an invitation to treat;</w:t>
      </w:r>
      <w:r>
        <w:rPr>
          <w:rStyle w:val="FootnoteReference"/>
          <w:rFonts w:ascii="Times New Roman" w:hAnsi="Times New Roman"/>
          <w:sz w:val="24"/>
        </w:rPr>
        <w:footnoteReference w:id="37"/>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 if you also promise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offered a promise for a promise, a bilateral contract,</w:t>
      </w:r>
      <w:r>
        <w:rPr>
          <w:rStyle w:val="FootnoteReference"/>
          <w:rFonts w:ascii="Times New Roman" w:hAnsi="Times New Roman"/>
          <w:sz w:val="24"/>
        </w:rPr>
        <w:footnoteReference w:id="38"/>
      </w:r>
      <w:r>
        <w:rPr>
          <w:rFonts w:ascii="Times New Roman" w:hAnsi="Times New Roman"/>
          <w:sz w:val="24"/>
        </w:rPr>
        <w:t xml:space="preserve"> </w:t>
      </w:r>
      <w:r>
        <w:rPr>
          <w:rFonts w:ascii="Times New Roman" w:hAnsi="Times New Roman"/>
          <w:sz w:val="24"/>
        </w:rPr>
        <w:t xml:space="preserve">which Pierre accepted when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AMPL may say nothing bound until signing: parties are bound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when, and in the manner in which, they intend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yet nothing suggests Rocky was to sign anything. A contract likely formed orally.</w:t>
      </w:r>
    </w:p>
    <w:p>
      <w:pPr>
        <w:pStyle w:val="BodyText"/>
      </w:pPr>
      <w:r>
        <w:rPr>
          <w:rFonts w:ascii="Times New Roman" w:hAnsi="Times New Roman"/>
          <w:sz w:val="24"/>
        </w:rPr>
        <w:t xml:space="preserve">Whether AMPL or Pierre contracted turns on agency: Pierre bound AMPL if, with its authority, he contracted for it rather than solely for himself.</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Although 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points to Pierre, Pierre controls AMPL and spoke at its office about its loan. AMPL therefore likely made the $10,000 promise and took Rocky’s undertaking; if Pierre spoke for himself, the undertaking ran to Pierre, leaving AMPL only the guarantee clause.</w:t>
      </w:r>
    </w:p>
    <w:p>
      <w:pPr>
        <w:pStyle w:val="BodyText"/>
      </w:pPr>
      <w:r>
        <w:rPr>
          <w:rFonts w:ascii="Times New Roman" w:hAnsi="Times New Roman"/>
          <w:sz w:val="24"/>
        </w:rPr>
        <w:t xml:space="preserve">On consideration, AMPL may invoke the existing legal duty rule: if,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also</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may imply, the guarantee already bound Rocky, his promise to ensure payment gave nothing new, like the promise to ensure delivery already owed in</w:t>
      </w:r>
      <w:r>
        <w:rPr>
          <w:rFonts w:ascii="Times New Roman" w:hAnsi="Times New Roman"/>
          <w:sz w:val="24"/>
        </w:rPr>
        <w:t xml:space="preserve"> </w:t>
      </w:r>
      <w:r>
        <w:rPr>
          <w:iCs/>
          <w:rFonts w:ascii="Times New Roman" w:hAnsi="Times New Roman"/>
          <w:i/>
          <w:sz w:val="24"/>
        </w:rPr>
        <w:t xml:space="preserve">Sundell</w:t>
      </w:r>
      <w:r>
        <w:rPr>
          <w:rFonts w:ascii="Times New Roman" w:hAnsi="Times New Roman"/>
          <w:sz w:val="24"/>
        </w:rPr>
        <w:t xml:space="preserve">.</w:t>
      </w:r>
      <w:r>
        <w:rPr>
          <w:rStyle w:val="FootnoteReference"/>
          <w:rFonts w:ascii="Times New Roman" w:hAnsi="Times New Roman"/>
          <w:sz w:val="24"/>
        </w:rPr>
        <w:footnoteReference w:id="42"/>
      </w:r>
      <w:r>
        <w:rPr>
          <w:rFonts w:ascii="Times New Roman" w:hAnsi="Times New Roman"/>
          <w:sz w:val="24"/>
        </w:rPr>
        <w:t xml:space="preserve"> </w:t>
      </w:r>
      <w:r>
        <w:rPr>
          <w:rFonts w:ascii="Times New Roman" w:hAnsi="Times New Roman"/>
          <w:sz w:val="24"/>
        </w:rPr>
        <w:t xml:space="preserve">However, the rule’s settled application is to a duty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pre-existing contract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the promisee,</w:t>
      </w:r>
      <w:r>
        <w:rPr>
          <w:rStyle w:val="FootnoteReference"/>
          <w:rFonts w:ascii="Times New Roman" w:hAnsi="Times New Roman"/>
          <w:sz w:val="24"/>
        </w:rPr>
        <w:footnoteReference w:id="43"/>
      </w:r>
      <w:r>
        <w:rPr>
          <w:rFonts w:ascii="Times New Roman" w:hAnsi="Times New Roman"/>
          <w:sz w:val="24"/>
        </w:rPr>
        <w:t xml:space="preserve"> </w:t>
      </w:r>
      <w:r>
        <w:rPr>
          <w:rFonts w:ascii="Times New Roman" w:hAnsi="Times New Roman"/>
          <w:sz w:val="24"/>
        </w:rPr>
        <w:t xml:space="preserve">and none is shown: Rocky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 27 February;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 and the clause was included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suggests the clause followed the bargain. Even if the guarantee came first, ensuring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were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promptly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exceeds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and a promise to Pierre to perform a duty owed to AMPL, a third party, can be consideration.</w:t>
      </w:r>
      <w:r>
        <w:rPr>
          <w:rStyle w:val="FootnoteReference"/>
          <w:rFonts w:ascii="Times New Roman" w:hAnsi="Times New Roman"/>
          <w:sz w:val="24"/>
        </w:rPr>
        <w:footnoteReference w:id="44"/>
      </w:r>
      <w:r>
        <w:rPr>
          <w:rFonts w:ascii="Times New Roman" w:hAnsi="Times New Roman"/>
          <w:sz w:val="24"/>
        </w:rPr>
        <w:t xml:space="preserve"> </w:t>
      </w:r>
      <w:r>
        <w:rPr>
          <w:rFonts w:ascii="Times New Roman" w:hAnsi="Times New Roman"/>
          <w:sz w:val="24"/>
        </w:rPr>
        <w:t xml:space="preserve">Rocky likely gave consideration.</w:t>
      </w:r>
    </w:p>
    <w:p>
      <w:pPr>
        <w:pStyle w:val="BodyText"/>
      </w:pPr>
      <w:r>
        <w:rPr>
          <w:rFonts w:ascii="Times New Roman" w:hAnsi="Times New Roman"/>
          <w:sz w:val="24"/>
        </w:rPr>
        <w:t xml:space="preserve">Intention is contested because Pierre is Rocky’s cousin; yet presumptions at best identify who bears the onus,</w:t>
      </w:r>
      <w:r>
        <w:rPr>
          <w:rStyle w:val="FootnoteReference"/>
          <w:rFonts w:ascii="Times New Roman" w:hAnsi="Times New Roman"/>
          <w:sz w:val="24"/>
        </w:rPr>
        <w:footnoteReference w:id="45"/>
      </w:r>
      <w:r>
        <w:rPr>
          <w:rFonts w:ascii="Times New Roman" w:hAnsi="Times New Roman"/>
          <w:sz w:val="24"/>
        </w:rPr>
        <w:t xml:space="preserve"> </w:t>
      </w:r>
      <w:r>
        <w:rPr>
          <w:rFonts w:ascii="Times New Roman" w:hAnsi="Times New Roman"/>
          <w:sz w:val="24"/>
        </w:rPr>
        <w:t xml:space="preserve">here Rocky. A promise of a fixed sum, made at AMPL’s office as its loan was finalised, 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appropriately promissory in character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commercial.</w:t>
      </w:r>
      <w:r>
        <w:rPr>
          <w:rStyle w:val="FootnoteReference"/>
          <w:rFonts w:ascii="Times New Roman" w:hAnsi="Times New Roman"/>
          <w:sz w:val="24"/>
        </w:rPr>
        <w:footnoteReference w:id="46"/>
      </w:r>
      <w:r>
        <w:rPr>
          <w:rFonts w:ascii="Times New Roman" w:hAnsi="Times New Roman"/>
          <w:sz w:val="24"/>
        </w:rPr>
        <w:t xml:space="preserve"> </w:t>
      </w:r>
      <w:r>
        <w:rPr>
          <w:rFonts w:ascii="Times New Roman" w:hAnsi="Times New Roman"/>
          <w:sz w:val="24"/>
        </w:rPr>
        <w:t xml:space="preserve">Intention is likely present.</w:t>
      </w:r>
    </w:p>
    <w:p>
      <w:pPr>
        <w:pStyle w:val="BodyText"/>
      </w:pPr>
      <w:r>
        <w:rPr>
          <w:rFonts w:ascii="Times New Roman" w:hAnsi="Times New Roman"/>
          <w:sz w:val="24"/>
        </w:rPr>
        <w:t xml:space="preserve">The Loan Agreement fixes the payments, so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 obscure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to defeat certainty;</w:t>
      </w:r>
      <w:r>
        <w:rPr>
          <w:rStyle w:val="FootnoteReference"/>
          <w:rFonts w:ascii="Times New Roman" w:hAnsi="Times New Roman"/>
          <w:sz w:val="24"/>
        </w:rPr>
        <w:footnoteReference w:id="47"/>
      </w:r>
      <w:r>
        <w:rPr>
          <w:rFonts w:ascii="Times New Roman" w:hAnsi="Times New Roman"/>
          <w:sz w:val="24"/>
        </w:rPr>
        <w:t xml:space="preserve"> </w:t>
      </w:r>
      <w:r>
        <w:rPr>
          <w:rFonts w:ascii="Times New Roman" w:hAnsi="Times New Roman"/>
          <w:sz w:val="24"/>
        </w:rPr>
        <w:t xml:space="preserve">the question is whether Rocky promised a result or only effort, which his check-ins would satisfy. Read objectively, Rocky’s unqualified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answering an expectation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names an outcome, so he likely promised a result.</w:t>
      </w:r>
      <w:r>
        <w:rPr>
          <w:rStyle w:val="FootnoteReference"/>
          <w:rFonts w:ascii="Times New Roman" w:hAnsi="Times New Roman"/>
          <w:sz w:val="24"/>
        </w:rPr>
        <w:footnoteReference w:id="48"/>
      </w:r>
    </w:p>
    <w:p>
      <w:pPr>
        <w:pStyle w:val="BodyText"/>
      </w:pPr>
      <w:r>
        <w:rPr>
          <w:rFonts w:ascii="Times New Roman" w:hAnsi="Times New Roman"/>
          <w:sz w:val="24"/>
        </w:rPr>
        <w:t xml:space="preserve">The next issue is whether the guarantee binds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personal guarantee provided by Rocky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proves that one was given, not its content. Privity prevents AMPL and Grace’s clause binding him of its own force,</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so AMPL must show his assent, not his signature. Silence while others write a clause is generally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assent;</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priced by the $10,000 promise, likely binds him at least as an undertaking.</w:t>
      </w:r>
      <w:r>
        <w:rPr>
          <w:rStyle w:val="FootnoteReference"/>
          <w:rFonts w:ascii="Times New Roman" w:hAnsi="Times New Roman"/>
          <w:sz w:val="24"/>
        </w:rPr>
        <w:footnoteReference w:id="51"/>
      </w:r>
      <w:r>
        <w:rPr>
          <w:rFonts w:ascii="Times New Roman" w:hAnsi="Times New Roman"/>
          <w:sz w:val="24"/>
        </w:rPr>
        <w:t xml:space="preserve"> </w:t>
      </w:r>
      <w:r>
        <w:rPr>
          <w:rFonts w:ascii="Times New Roman" w:hAnsi="Times New Roman"/>
          <w:sz w:val="24"/>
        </w:rPr>
        <w:t xml:space="preserve">Having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attended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a reasonable opportunity to reject the clause, he arguably knew its words; although the $10,000 priced his own words, not the clause’s, taking that promise knowingly and with no objection shown arguably signalled assent to the clause.</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If he never saw it, he is bound only by his undertaking.</w:t>
      </w:r>
    </w:p>
    <w:p>
      <w:pPr>
        <w:pStyle w:val="BodyText"/>
      </w:pPr>
      <w:r>
        <w:rPr>
          <w:rFonts w:ascii="Times New Roman" w:hAnsi="Times New Roman"/>
          <w:sz w:val="24"/>
        </w:rPr>
        <w:t xml:space="preserve">Consideration for the guarantee must also move from AMPL as promisee:</w:t>
      </w:r>
      <w:r>
        <w:rPr>
          <w:rStyle w:val="FootnoteReference"/>
          <w:rFonts w:ascii="Times New Roman" w:hAnsi="Times New Roman"/>
          <w:sz w:val="24"/>
        </w:rPr>
        <w:footnoteReference w:id="53"/>
      </w:r>
      <w:r>
        <w:rPr>
          <w:rFonts w:ascii="Times New Roman" w:hAnsi="Times New Roman"/>
          <w:sz w:val="24"/>
        </w:rPr>
        <w:t xml:space="preserve"> </w:t>
      </w:r>
      <w:r>
        <w:rPr>
          <w:rFonts w:ascii="Times New Roman" w:hAnsi="Times New Roman"/>
          <w:sz w:val="24"/>
        </w:rPr>
        <w:t xml:space="preserve">if AMPL promised the $10,000, that promise supplies it. If Pierre did, the advance, past consideration,</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though made at Rocky’s request, counts only if the parties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understood that the act was to be remunerated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55"/>
      </w:r>
      <w:r>
        <w:rPr>
          <w:rFonts w:ascii="Times New Roman" w:hAnsi="Times New Roman"/>
          <w:sz w:val="24"/>
        </w:rPr>
        <w:t xml:space="preserve"> </w:t>
      </w:r>
      <w:r>
        <w:rPr>
          <w:rFonts w:ascii="Times New Roman" w:hAnsi="Times New Roman"/>
          <w:sz w:val="24"/>
        </w:rPr>
        <w:t xml:space="preserve">nothing shows a guarantee was then expected. AMPL’s stronger answer is that it signed the Loan Agreement only after the clause was included, an act likely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really done in consideration of</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guarantee,</w:t>
      </w:r>
      <w:r>
        <w:rPr>
          <w:rStyle w:val="FootnoteReference"/>
          <w:rFonts w:ascii="Times New Roman" w:hAnsi="Times New Roman"/>
          <w:sz w:val="24"/>
        </w:rPr>
        <w:footnoteReference w:id="56"/>
      </w:r>
      <w:r>
        <w:rPr>
          <w:rFonts w:ascii="Times New Roman" w:hAnsi="Times New Roman"/>
          <w:sz w:val="24"/>
        </w:rPr>
        <w:t xml:space="preserve"> </w:t>
      </w:r>
      <w:r>
        <w:rPr>
          <w:rFonts w:ascii="Times New Roman" w:hAnsi="Times New Roman"/>
          <w:sz w:val="24"/>
        </w:rPr>
        <w:t xml:space="preserve">which is thus likely supported if he assented.</w:t>
      </w:r>
    </w:p>
    <w:p>
      <w:pPr>
        <w:pStyle w:val="BodyText"/>
      </w:pPr>
      <w:r>
        <w:rPr>
          <w:rFonts w:ascii="Times New Roman" w:hAnsi="Times New Roman"/>
          <w:sz w:val="24"/>
        </w:rPr>
        <w:t xml:space="preserve">The call’s timing turns on when the 12 months began. Post-contractual conduct cannot show the term’s meaning;</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but because the term, fixing no start, is arguably ambiguous, mutually known facts showing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genesis of the transaction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admissible.</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AMPL would say the term of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w:t>
      </w:r>
      <w:r>
        <w:rPr>
          <w:rFonts w:ascii="Times New Roman" w:hAnsi="Times New Roman"/>
          <w:sz w:val="24"/>
        </w:rPr>
        <w:t xml:space="preserve">’</w:t>
      </w:r>
      <w:r>
        <w:rPr>
          <w:rFonts w:ascii="Times New Roman" w:hAnsi="Times New Roman"/>
          <w:sz w:val="24"/>
        </w:rPr>
        <w:t xml:space="preserve">, which the agreement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runs from its advance on 27 February. Yet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governs the 4% rate as much as the sum, and nothing shows any term was fixed before 8 April: the genesis shows when the money moved, not that a term first agreed on 8 April began earlier. The term therefore arguably ran from 8 April, making the call premature unless the Loan Agreement’s words date it from the advance.</w:t>
      </w:r>
    </w:p>
    <w:p>
      <w:pPr>
        <w:pStyle w:val="BodyText"/>
      </w:pPr>
      <w:r>
        <w:rPr>
          <w:rFonts w:ascii="Times New Roman" w:hAnsi="Times New Roman"/>
          <w:sz w:val="24"/>
        </w:rPr>
        <w:t xml:space="preserve">The last issue is the condition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a condition precedent to AMPL’s obligation, not to the contract, the bargain having bound at once.</w:t>
      </w:r>
      <w:r>
        <w:rPr>
          <w:rStyle w:val="FootnoteReference"/>
          <w:rFonts w:ascii="Times New Roman" w:hAnsi="Times New Roman"/>
          <w:sz w:val="24"/>
        </w:rPr>
        <w:footnoteReference w:id="59"/>
      </w:r>
      <w:r>
        <w:rPr>
          <w:rFonts w:ascii="Times New Roman" w:hAnsi="Times New Roman"/>
          <w:sz w:val="24"/>
        </w:rPr>
        <w:t xml:space="preserve"> </w:t>
      </w:r>
      <w:r>
        <w:rPr>
          <w:rFonts w:ascii="Times New Roman" w:hAnsi="Times New Roman"/>
          <w:sz w:val="24"/>
        </w:rPr>
        <w:t xml:space="preserve">Nothing was payable on 9 March 2025, when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not yet repaid</w:t>
      </w:r>
      <w:r>
        <w:rPr>
          <w:rFonts w:ascii="Times New Roman" w:hAnsi="Times New Roman"/>
          <w:sz w:val="24"/>
        </w:rPr>
        <w:t xml:space="preserve">’</w:t>
      </w:r>
      <w:r>
        <w:rPr>
          <w:rFonts w:ascii="Times New Roman" w:hAnsi="Times New Roman"/>
          <w:sz w:val="24"/>
        </w:rPr>
        <w:t xml:space="preserve">. Rocky may say that, read commercially, his own payment suffices;</w:t>
      </w:r>
      <w:r>
        <w:rPr>
          <w:rStyle w:val="FootnoteReference"/>
          <w:rFonts w:ascii="Times New Roman" w:hAnsi="Times New Roman"/>
          <w:sz w:val="24"/>
        </w:rPr>
        <w:footnoteReference w:id="60"/>
      </w:r>
      <w:r>
        <w:rPr>
          <w:rFonts w:ascii="Times New Roman" w:hAnsi="Times New Roman"/>
          <w:sz w:val="24"/>
        </w:rPr>
        <w:t xml:space="preserve"> </w:t>
      </w:r>
      <w:r>
        <w:rPr>
          <w:rFonts w:ascii="Times New Roman" w:hAnsi="Times New Roman"/>
          <w:sz w:val="24"/>
        </w:rPr>
        <w:t xml:space="preserve">but the words name Grace, and the $10,000 priced his promise that Grace would pay, not his paying instead. Nor does AMPL’s duty to co-operate assist: it reaches only what is necessary on AMPL’s part,</w:t>
      </w:r>
      <w:r>
        <w:rPr>
          <w:rStyle w:val="FootnoteReference"/>
          <w:rFonts w:ascii="Times New Roman" w:hAnsi="Times New Roman"/>
          <w:sz w:val="24"/>
        </w:rPr>
        <w:footnoteReference w:id="61"/>
      </w:r>
      <w:r>
        <w:rPr>
          <w:rFonts w:ascii="Times New Roman" w:hAnsi="Times New Roman"/>
          <w:sz w:val="24"/>
        </w:rPr>
        <w:t xml:space="preserve"> </w:t>
      </w:r>
      <w:r>
        <w:rPr>
          <w:rFonts w:ascii="Times New Roman" w:hAnsi="Times New Roman"/>
          <w:sz w:val="24"/>
        </w:rPr>
        <w:t xml:space="preserve">and repayment is Grace’s act. Payment by Rocky therefore likely leaves the condition unfulfilled.</w:t>
      </w:r>
    </w:p>
    <w:p>
      <w:pPr>
        <w:pStyle w:val="BodyText"/>
      </w:pPr>
      <w:r>
        <w:rPr>
          <w:rFonts w:ascii="Times New Roman" w:hAnsi="Times New Roman"/>
          <w:sz w:val="24"/>
        </w:rPr>
        <w:t xml:space="preserve">If Rocky assented to the clause, by which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personally guaranteed repayment of the Loan</w:t>
      </w:r>
      <w:r>
        <w:rPr>
          <w:rFonts w:ascii="Times New Roman" w:hAnsi="Times New Roman"/>
          <w:sz w:val="24"/>
        </w:rPr>
        <w:t xml:space="preserve">’</w:t>
      </w:r>
      <w:r>
        <w:rPr>
          <w:rFonts w:ascii="Times New Roman" w:hAnsi="Times New Roman"/>
          <w:sz w:val="24"/>
        </w:rPr>
        <w:t xml:space="preserve">, he is liable for $1,150,000 once the Loan is due and unpaid: now on the 27 February reading, and on the 8 April reading from 8 April 2025 if Grace has not repaid. If he is bound only by his oral undertaking, Grace’s failure to pay when due, arguably including March’s interest, payments being stated only until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8 February 2025</w:t>
      </w:r>
      <w:r>
        <w:rPr>
          <w:rFonts w:ascii="Times New Roman" w:hAnsi="Times New Roman"/>
          <w:sz w:val="24"/>
        </w:rPr>
        <w:t xml:space="preserve">’</w:t>
      </w:r>
      <w:r>
        <w:rPr>
          <w:rFonts w:ascii="Times New Roman" w:hAnsi="Times New Roman"/>
          <w:sz w:val="24"/>
        </w:rPr>
        <w:t xml:space="preserve">, likely breaches it and sounds in damages. Rocky’s $10,000 claim, against AMPL or alternatively Pierre, likely stands; being conditional,</w:t>
      </w:r>
      <w:r>
        <w:rPr>
          <w:rStyle w:val="FootnoteReference"/>
          <w:rFonts w:ascii="Times New Roman" w:hAnsi="Times New Roman"/>
          <w:sz w:val="24"/>
        </w:rPr>
        <w:footnoteReference w:id="62"/>
      </w:r>
      <w:r>
        <w:rPr>
          <w:rFonts w:ascii="Times New Roman" w:hAnsi="Times New Roman"/>
          <w:sz w:val="24"/>
        </w:rPr>
        <w:t xml:space="preserve"> </w:t>
      </w:r>
      <w:r>
        <w:rPr>
          <w:rFonts w:ascii="Times New Roman" w:hAnsi="Times New Roman"/>
          <w:sz w:val="24"/>
        </w:rPr>
        <w:t xml:space="preserve">it falls due only once Grace repays, so never if Grace, who said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might not pay at all</w:t>
      </w:r>
      <w:r>
        <w:rPr>
          <w:rFonts w:ascii="Times New Roman" w:hAnsi="Times New Roman"/>
          <w:sz w:val="24"/>
        </w:rPr>
        <w:t xml:space="preserve">’</w:t>
      </w:r>
      <w:r>
        <w:rPr>
          <w:rFonts w:ascii="Times New Roman" w:hAnsi="Times New Roman"/>
          <w:sz w:val="24"/>
        </w:rPr>
        <w:t xml:space="preserve">, does not, and likely never if Rocky pays instead.</w:t>
      </w:r>
    </w:p>
    <w:p>
      <w:pPr>
        <w:pStyle w:val="BodyText"/>
      </w:pPr>
      <w:r>
        <w:rPr>
          <w:rFonts w:ascii="Times New Roman" w:hAnsi="Times New Roman"/>
          <w:sz w:val="24"/>
        </w:rPr>
        <w:t xml:space="preserve">Word count: 1,499</w:t>
      </w:r>
    </w:p>
    <w:bookmarkEnd w:id="63"/>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2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209 CLR 95, [25]–[26]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363, quoting</w:t>
      </w:r>
      <w:r>
        <w:rPr>
          <w:rFonts w:ascii="Times New Roman" w:hAnsi="Times New Roman" w:cs="Times New Roman"/>
        </w:rPr>
        <w:t xml:space="preserve"> </w:t>
      </w:r>
      <w:r>
        <w:rPr>
          <w:iCs/>
          <w:i/>
          <w:rFonts w:ascii="Times New Roman" w:hAnsi="Times New Roman" w:cs="Times New Roman"/>
        </w:rPr>
        <w:t xml:space="preserve">Winn v Bull</w:t>
      </w:r>
      <w:r>
        <w:rPr>
          <w:rFonts w:ascii="Times New Roman" w:hAnsi="Times New Roman" w:cs="Times New Roman"/>
        </w:rPr>
        <w:t xml:space="preserve"> </w:t>
      </w:r>
      <w:r>
        <w:rPr>
          <w:rFonts w:ascii="Times New Roman" w:hAnsi="Times New Roman" w:cs="Times New Roman"/>
        </w:rPr>
        <w:t xml:space="preserve">(1877) 7 Ch D 29, 32 (Jessel MR).</w:t>
      </w:r>
    </w:p>
  </w:footnote>
  <w:footnote w:id="2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642–3 (Walsh J) (</w:t>
      </w:r>
      <w:r>
        <w:rPr>
          <w:rFonts w:ascii="Times New Roman" w:hAnsi="Times New Roman" w:cs="Times New Roman"/>
        </w:rPr>
        <w:t xml:space="preserve">‘</w:t>
      </w:r>
      <w:r>
        <w:rPr>
          <w:iCs/>
          <w:i/>
          <w:rFonts w:ascii="Times New Roman" w:hAnsi="Times New Roman" w:cs="Times New Roman"/>
        </w:rPr>
        <w:t xml:space="preserve">Godecke</w:t>
      </w:r>
      <w:r>
        <w:rPr>
          <w:rFonts w:ascii="Times New Roman" w:hAnsi="Times New Roman" w:cs="Times New Roman"/>
        </w:rPr>
        <w:t xml:space="preserve">’</w:t>
      </w:r>
      <w:r>
        <w:rPr>
          <w:rFonts w:ascii="Times New Roman" w:hAnsi="Times New Roman" w:cs="Times New Roman"/>
        </w:rPr>
        <w:t xml:space="preserve">).</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w:t>
      </w:r>
      <w:r>
        <w:rPr>
          <w:rFonts w:ascii="Times New Roman" w:hAnsi="Times New Roman" w:cs="Times New Roman"/>
        </w:rPr>
        <w:t xml:space="preserve"> </w:t>
      </w:r>
      <w:r>
        <w:rPr>
          <w:rFonts w:ascii="Times New Roman" w:hAnsi="Times New Roman" w:cs="Times New Roman"/>
        </w:rPr>
        <w:t xml:space="preserve">(n 5) 646–7 (Gibbs J).</w:t>
      </w:r>
    </w:p>
  </w:footnote>
  <w:footnote w:id="2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6) 581 (Gibbs CJ).</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589–90 (Mason J), quoting</w:t>
      </w:r>
      <w:r>
        <w:rPr>
          <w:rFonts w:ascii="Times New Roman" w:hAnsi="Times New Roman" w:cs="Times New Roman"/>
        </w:rPr>
        <w:t xml:space="preserve"> </w:t>
      </w:r>
      <w:r>
        <w:rPr>
          <w:iCs/>
          <w:i/>
          <w:rFonts w:ascii="Times New Roman" w:hAnsi="Times New Roman" w:cs="Times New Roman"/>
        </w:rPr>
        <w:t xml:space="preserve">Thorby v Goldberg</w:t>
      </w:r>
      <w:r>
        <w:rPr>
          <w:rFonts w:ascii="Times New Roman" w:hAnsi="Times New Roman" w:cs="Times New Roman"/>
        </w:rPr>
        <w:t xml:space="preserve"> </w:t>
      </w:r>
      <w:r>
        <w:rPr>
          <w:rFonts w:ascii="Times New Roman" w:hAnsi="Times New Roman" w:cs="Times New Roman"/>
        </w:rPr>
        <w:t xml:space="preserve">(1964) 112 CLR 597, 605.</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6) 581 (Gibbs CJ).</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 General Insurance Co Ltd v McNiece Bros Pty Ltd</w:t>
      </w:r>
      <w:r>
        <w:rPr>
          <w:rFonts w:ascii="Times New Roman" w:hAnsi="Times New Roman" w:cs="Times New Roman"/>
        </w:rPr>
        <w:t xml:space="preserve"> </w:t>
      </w:r>
      <w:r>
        <w:rPr>
          <w:rFonts w:ascii="Times New Roman" w:hAnsi="Times New Roman" w:cs="Times New Roman"/>
        </w:rPr>
        <w:t xml:space="preserve">(1988) 165 CLR 107 (Brennan J dissenting) (</w:t>
      </w:r>
      <w:r>
        <w:rPr>
          <w:rFonts w:ascii="Times New Roman" w:hAnsi="Times New Roman" w:cs="Times New Roman"/>
        </w:rPr>
        <w:t xml:space="preserve">‘</w:t>
      </w:r>
      <w:r>
        <w:rPr>
          <w:iCs/>
          <w:i/>
          <w:rFonts w:ascii="Times New Roman" w:hAnsi="Times New Roman" w:cs="Times New Roman"/>
        </w:rPr>
        <w:t xml:space="preserve">Trident</w:t>
      </w:r>
      <w:r>
        <w:rPr>
          <w:rFonts w:ascii="Times New Roman" w:hAnsi="Times New Roman" w:cs="Times New Roman"/>
        </w:rPr>
        <w:t xml:space="preserve">’</w:t>
      </w:r>
      <w:r>
        <w:rPr>
          <w:rFonts w:ascii="Times New Roman" w:hAnsi="Times New Roman" w:cs="Times New Roman"/>
        </w:rPr>
        <w:t xml:space="preserve">).</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 Stevedoring Pty Ltd v Salmond &amp; Spraggon (Aust) Pty Ltd</w:t>
      </w:r>
      <w:r>
        <w:rPr>
          <w:rFonts w:ascii="Times New Roman" w:hAnsi="Times New Roman" w:cs="Times New Roman"/>
        </w:rPr>
        <w:t xml:space="preserve"> </w:t>
      </w:r>
      <w:r>
        <w:rPr>
          <w:rFonts w:ascii="Times New Roman" w:hAnsi="Times New Roman" w:cs="Times New Roman"/>
        </w:rPr>
        <w:t xml:space="preserve">(1978) 139 CLR 231, 269 (Mason and Jacobs JJ) (</w:t>
      </w:r>
      <w:r>
        <w:rPr>
          <w:rFonts w:ascii="Times New Roman" w:hAnsi="Times New Roman" w:cs="Times New Roman"/>
        </w:rPr>
        <w:t xml:space="preserve">‘</w:t>
      </w:r>
      <w:r>
        <w:rPr>
          <w:iCs/>
          <w:i/>
          <w:rFonts w:ascii="Times New Roman" w:hAnsi="Times New Roman" w:cs="Times New Roman"/>
        </w:rPr>
        <w:t xml:space="preserve">Port Jackson</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Scruttons Ltd v Midland Silicones Ltd</w:t>
      </w:r>
      <w:r>
        <w:rPr>
          <w:rFonts w:ascii="Times New Roman" w:hAnsi="Times New Roman" w:cs="Times New Roman"/>
        </w:rPr>
        <w:t xml:space="preserve"> </w:t>
      </w:r>
      <w:r>
        <w:rPr>
          <w:rFonts w:ascii="Times New Roman" w:hAnsi="Times New Roman" w:cs="Times New Roman"/>
        </w:rPr>
        <w:t xml:space="preserve">[1962] AC 446, 474 (Lord Reid).</w:t>
      </w:r>
    </w:p>
  </w:footnote>
  <w:footnote w:id="3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494–5 (Windeyer J dissenting)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 (Taylor and Owen JJ).</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298 (Lord Diplock).</w:t>
      </w:r>
    </w:p>
  </w:footnote>
  <w:footnote w:id="3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53 NSWLR 153, 177 (Heydon JA) (</w:t>
      </w:r>
      <w:r>
        <w:rPr>
          <w:rFonts w:ascii="Times New Roman" w:hAnsi="Times New Roman" w:cs="Times New Roman"/>
        </w:rPr>
        <w:t xml:space="preserve">‘</w:t>
      </w:r>
      <w:r>
        <w:rPr>
          <w:iCs/>
          <w:i/>
          <w:rFonts w:ascii="Times New Roman" w:hAnsi="Times New Roman" w:cs="Times New Roman"/>
        </w:rPr>
        <w:t xml:space="preserve">Brambles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Integrated Computer Services Pty Ltd v Digital Equipment Corp (Aust) Pty Ltd</w:t>
      </w:r>
      <w:r>
        <w:rPr>
          <w:rFonts w:ascii="Times New Roman" w:hAnsi="Times New Roman" w:cs="Times New Roman"/>
        </w:rPr>
        <w:t xml:space="preserve"> </w:t>
      </w:r>
      <w:r>
        <w:rPr>
          <w:rFonts w:ascii="Times New Roman" w:hAnsi="Times New Roman" w:cs="Times New Roman"/>
        </w:rPr>
        <w:t xml:space="preserve">(1988) 5 BPR 11,110, 11,117–18 (McHugh JA).</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2) 534 (McHugh JA).</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18) 176 (Heydon JA), quoting</w:t>
      </w:r>
      <w:r>
        <w:rPr>
          <w:rFonts w:ascii="Times New Roman" w:hAnsi="Times New Roman" w:cs="Times New Roman"/>
        </w:rPr>
        <w:t xml:space="preserve"> </w:t>
      </w:r>
      <w:r>
        <w:rPr>
          <w:iCs/>
          <w:i/>
          <w:rFonts w:ascii="Times New Roman" w:hAnsi="Times New Roman" w:cs="Times New Roman"/>
        </w:rPr>
        <w:t xml:space="preserve">Eccles v Bryant</w:t>
      </w:r>
      <w:r>
        <w:rPr>
          <w:rFonts w:ascii="Times New Roman" w:hAnsi="Times New Roman" w:cs="Times New Roman"/>
        </w:rPr>
        <w:t xml:space="preserve"> </w:t>
      </w:r>
      <w:r>
        <w:rPr>
          <w:rFonts w:ascii="Times New Roman" w:hAnsi="Times New Roman" w:cs="Times New Roman"/>
        </w:rPr>
        <w:t xml:space="preserve">[1948] Ch 93, 104 (Lord Greene MR).</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w:t>
      </w:r>
      <w:r>
        <w:rPr>
          <w:rFonts w:ascii="Times New Roman" w:hAnsi="Times New Roman" w:cs="Times New Roman"/>
        </w:rPr>
        <w:t xml:space="preserve"> </w:t>
      </w:r>
      <w:r>
        <w:rPr>
          <w:rFonts w:ascii="Times New Roman" w:hAnsi="Times New Roman" w:cs="Times New Roman"/>
        </w:rPr>
        <w:t xml:space="preserve">(n 12) 269 (Mason and Jacobs JJ).</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 (</w:t>
      </w:r>
      <w:r>
        <w:rPr>
          <w:rFonts w:ascii="Times New Roman" w:hAnsi="Times New Roman" w:cs="Times New Roman"/>
        </w:rPr>
        <w:t xml:space="preserve">‘</w:t>
      </w:r>
      <w:r>
        <w:rPr>
          <w:iCs/>
          <w:i/>
          <w:rFonts w:ascii="Times New Roman" w:hAnsi="Times New Roman" w:cs="Times New Roman"/>
        </w:rPr>
        <w:t xml:space="preserve">Sundell</w:t>
      </w:r>
      <w:r>
        <w:rPr>
          <w:rFonts w:ascii="Times New Roman" w:hAnsi="Times New Roman" w:cs="Times New Roman"/>
        </w:rPr>
        <w:t xml:space="preserve">’</w:t>
      </w:r>
      <w:r>
        <w:rPr>
          <w:rFonts w:ascii="Times New Roman" w:hAnsi="Times New Roman" w:cs="Times New Roman"/>
        </w:rPr>
        <w:t xml:space="preserve">).</w:t>
      </w:r>
    </w:p>
  </w:footnote>
  <w:footnote w:id="4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4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632 (</w:t>
      </w:r>
      <w:r>
        <w:rPr>
          <w:rFonts w:ascii="Times New Roman" w:hAnsi="Times New Roman" w:cs="Times New Roman"/>
        </w:rPr>
        <w:t xml:space="preserve">‘</w:t>
      </w:r>
      <w:r>
        <w:rPr>
          <w:iCs/>
          <w:i/>
          <w:rFonts w:ascii="Times New Roman" w:hAnsi="Times New Roman" w:cs="Times New Roman"/>
        </w:rPr>
        <w:t xml:space="preserve">Pao On</w:t>
      </w:r>
      <w:r>
        <w:rPr>
          <w:rFonts w:ascii="Times New Roman" w:hAnsi="Times New Roman" w:cs="Times New Roman"/>
        </w:rPr>
        <w:t xml:space="preserve">’</w:t>
      </w:r>
      <w:r>
        <w:rPr>
          <w:rFonts w:ascii="Times New Roman" w:hAnsi="Times New Roman" w:cs="Times New Roman"/>
        </w:rPr>
        <w:t xml:space="preserve">).</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3) [26] (Gaudron, McHugh, Hayne and Callinan JJ).</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523 (Rogers CJ) (</w:t>
      </w:r>
      <w:r>
        <w:rPr>
          <w:rFonts w:ascii="Times New Roman" w:hAnsi="Times New Roman" w:cs="Times New Roman"/>
        </w:rPr>
        <w:t xml:space="preserve">‘</w:t>
      </w:r>
      <w:r>
        <w:rPr>
          <w:iCs/>
          <w:i/>
          <w:rFonts w:ascii="Times New Roman" w:hAnsi="Times New Roman" w:cs="Times New Roman"/>
        </w:rPr>
        <w:t xml:space="preserve">Banque Brussels</w:t>
      </w:r>
      <w:r>
        <w:rPr>
          <w:rFonts w:ascii="Times New Roman" w:hAnsi="Times New Roman" w:cs="Times New Roman"/>
        </w:rPr>
        <w:t xml:space="preserve">’</w:t>
      </w:r>
      <w:r>
        <w:rPr>
          <w:rFonts w:ascii="Times New Roman" w:hAnsi="Times New Roman" w:cs="Times New Roman"/>
        </w:rPr>
        <w:t xml:space="preserve">).</w:t>
      </w:r>
    </w:p>
  </w:footnote>
  <w:footnote w:id="4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437 (Barwick CJ) (</w:t>
      </w:r>
      <w:r>
        <w:rPr>
          <w:rFonts w:ascii="Times New Roman" w:hAnsi="Times New Roman" w:cs="Times New Roman"/>
        </w:rPr>
        <w:t xml:space="preserve">‘</w:t>
      </w:r>
      <w:r>
        <w:rPr>
          <w:iCs/>
          <w:i/>
          <w:rFonts w:ascii="Times New Roman" w:hAnsi="Times New Roman" w:cs="Times New Roman"/>
        </w:rPr>
        <w:t xml:space="preserve">Upper Hunter</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G Scammell &amp; Nephew Ltd v Ouston</w:t>
      </w:r>
      <w:r>
        <w:rPr>
          <w:rFonts w:ascii="Times New Roman" w:hAnsi="Times New Roman" w:cs="Times New Roman"/>
        </w:rPr>
        <w:t xml:space="preserve"> </w:t>
      </w:r>
      <w:r>
        <w:rPr>
          <w:rFonts w:ascii="Times New Roman" w:hAnsi="Times New Roman" w:cs="Times New Roman"/>
        </w:rPr>
        <w:t xml:space="preserve">[1941] AC 251, 268 (Lord Wright).</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3) [25] (Gaudron, McHugh, Hayne and Callinan JJ).</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w:t>
      </w:r>
      <w:r>
        <w:rPr>
          <w:rFonts w:ascii="Times New Roman" w:hAnsi="Times New Roman" w:cs="Times New Roman"/>
        </w:rPr>
        <w:t xml:space="preserve"> </w:t>
      </w:r>
      <w:r>
        <w:rPr>
          <w:rFonts w:ascii="Times New Roman" w:hAnsi="Times New Roman" w:cs="Times New Roman"/>
        </w:rPr>
        <w:t xml:space="preserve">(n 11) (Deane J).</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2) 534 (McHugh JA).</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456–7 (</w:t>
      </w:r>
      <w:r>
        <w:rPr>
          <w:rFonts w:ascii="Times New Roman" w:hAnsi="Times New Roman" w:cs="Times New Roman"/>
        </w:rPr>
        <w:t xml:space="preserve">‘</w:t>
      </w:r>
      <w:r>
        <w:rPr>
          <w:iCs/>
          <w:i/>
          <w:rFonts w:ascii="Times New Roman" w:hAnsi="Times New Roman" w:cs="Times New Roman"/>
        </w:rPr>
        <w:t xml:space="preserve">Australian Woollen Mills</w:t>
      </w:r>
      <w:r>
        <w:rPr>
          <w:rFonts w:ascii="Times New Roman" w:hAnsi="Times New Roman" w:cs="Times New Roman"/>
        </w:rPr>
        <w:t xml:space="preserve">’</w:t>
      </w:r>
      <w:r>
        <w:rPr>
          <w:rFonts w:ascii="Times New Roman" w:hAnsi="Times New Roman" w:cs="Times New Roman"/>
        </w:rPr>
        <w:t xml:space="preserve">).</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2) 535–6 (McHugh JA).</w:t>
      </w:r>
    </w:p>
  </w:footnote>
  <w:footnote w:id="5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495 (Windeyer J dissenting).</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 (Lord Denman CJ).</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w:t>
      </w:r>
      <w:r>
        <w:rPr>
          <w:rFonts w:ascii="Times New Roman" w:hAnsi="Times New Roman" w:cs="Times New Roman"/>
        </w:rPr>
        <w:t xml:space="preserve"> </w:t>
      </w:r>
      <w:r>
        <w:rPr>
          <w:rFonts w:ascii="Times New Roman" w:hAnsi="Times New Roman" w:cs="Times New Roman"/>
        </w:rPr>
        <w:t xml:space="preserve">(n 24) 629–30.</w:t>
      </w:r>
    </w:p>
  </w:footnote>
  <w:footnote w:id="5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31) 456.</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18) 164 (Heydon JA).</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191 (Ipp AJA).</w:t>
      </w:r>
    </w:p>
  </w:footnote>
  <w:footnote w:id="5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6) 582 (Gibbs CJ).</w:t>
      </w:r>
    </w:p>
  </w:footnote>
  <w:footnote w:id="6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Upper Hunter</w:t>
      </w:r>
      <w:r>
        <w:rPr>
          <w:rFonts w:ascii="Times New Roman" w:hAnsi="Times New Roman" w:cs="Times New Roman"/>
        </w:rPr>
        <w:t xml:space="preserve"> </w:t>
      </w:r>
      <w:r>
        <w:rPr>
          <w:rFonts w:ascii="Times New Roman" w:hAnsi="Times New Roman" w:cs="Times New Roman"/>
        </w:rPr>
        <w:t xml:space="preserve">(n 27) 437 (Barwick CJ).</w:t>
      </w:r>
    </w:p>
  </w:footnote>
  <w:footnote w:id="6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Beaton v McDivitt</w:t>
      </w:r>
      <w:r>
        <w:rPr>
          <w:rFonts w:ascii="Times New Roman" w:hAnsi="Times New Roman" w:cs="Times New Roman"/>
        </w:rPr>
        <w:t xml:space="preserve"> </w:t>
      </w:r>
      <w:r>
        <w:rPr>
          <w:rFonts w:ascii="Times New Roman" w:hAnsi="Times New Roman" w:cs="Times New Roman"/>
        </w:rPr>
        <w:t xml:space="preserve">(1987) 13 NSWLR 162, 185 (McHugh JA dissenting), citing</w:t>
      </w:r>
      <w:r>
        <w:rPr>
          <w:rFonts w:ascii="Times New Roman" w:hAnsi="Times New Roman" w:cs="Times New Roman"/>
        </w:rPr>
        <w:t xml:space="preserve"> </w:t>
      </w:r>
      <w:r>
        <w:rPr>
          <w:iCs/>
          <w:i/>
          <w:rFonts w:ascii="Times New Roman" w:hAnsi="Times New Roman" w:cs="Times New Roman"/>
        </w:rPr>
        <w:t xml:space="preserve">Secured Income Real Estate (Aust) Ltd v St Martins Investments Pty Ltd</w:t>
      </w:r>
      <w:r>
        <w:rPr>
          <w:rFonts w:ascii="Times New Roman" w:hAnsi="Times New Roman" w:cs="Times New Roman"/>
        </w:rPr>
        <w:t xml:space="preserve"> </w:t>
      </w:r>
      <w:r>
        <w:rPr>
          <w:rFonts w:ascii="Times New Roman" w:hAnsi="Times New Roman" w:cs="Times New Roman"/>
        </w:rPr>
        <w:t xml:space="preserve">(1979) 144 CLR 596, 607 (Mason J).</w:t>
      </w:r>
    </w:p>
  </w:footnote>
  <w:footnote w:id="6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6) 582 (Gibbs CJ).</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2026-10-11T16:34:48Z</dcterms:created>
  <dcterms:modified xsi:type="dcterms:W3CDTF">2026-10-11T16:34:48Z</dcterms:modified>
</cp:coreProperties>
</file>

<file path=docProps/custom.xml><?xml version="1.0" encoding="utf-8"?>
<Properties xmlns="http://schemas.openxmlformats.org/officeDocument/2006/custom-properties" xmlns:vt="http://schemas.openxmlformats.org/officeDocument/2006/docPropsVTypes"/>
</file>