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i.-rocky-v-grace"/>
    <w:p>
      <w:pPr>
        <w:pStyle w:val="Heading2"/>
      </w:pPr>
      <w:r>
        <w:rPr>
          <w:rFonts w:ascii="Times New Roman" w:hAnsi="Times New Roman"/>
        </w:rPr>
        <w:t xml:space="preserve">I. ROCKY v GRACE</w:t>
      </w:r>
    </w:p>
    <w:p>
      <w:pPr>
        <w:pStyle w:val="FirstParagraph"/>
      </w:pPr>
      <w:r>
        <w:rPr>
          <w:rFonts w:ascii="Times New Roman" w:hAnsi="Times New Roman"/>
          <w:sz w:val="24"/>
        </w:rPr>
        <w:t xml:space="preserve">The primary issue between Rocky and Grace is whether their February dealings formed a binding loan, since, if they did, Grace could claim that Rocky failed to lend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by 15 February</w:t>
      </w:r>
      <w:r>
        <w:rPr>
          <w:rFonts w:ascii="Times New Roman" w:hAnsi="Times New Roman"/>
          <w:sz w:val="24"/>
        </w:rPr>
        <w:t xml:space="preserve">’</w:t>
      </w:r>
      <w:r>
        <w:rPr>
          <w:rFonts w:ascii="Times New Roman" w:hAnsi="Times New Roman"/>
          <w:sz w:val="24"/>
        </w:rPr>
        <w:t xml:space="preserve">. By asking Rocky on 5 February to offer a two-year loan, Grace invited an offer rather than making one,</w:t>
      </w:r>
      <w:r>
        <w:rPr>
          <w:rStyle w:val="FootnoteReference"/>
          <w:rFonts w:ascii="Times New Roman" w:hAnsi="Times New Roman"/>
          <w:sz w:val="24"/>
        </w:rPr>
        <w:footnoteReference w:id="20"/>
      </w:r>
      <w:r>
        <w:rPr>
          <w:rFonts w:ascii="Times New Roman" w:hAnsi="Times New Roman"/>
          <w:sz w:val="24"/>
        </w:rPr>
        <w:t xml:space="preserve"> </w:t>
      </w:r>
      <w:r>
        <w:rPr>
          <w:rFonts w:ascii="Times New Roman" w:hAnsi="Times New Roman"/>
          <w:sz w:val="24"/>
        </w:rPr>
        <w:t xml:space="preserve">and Rocky declined, so no contract formed. Rocky could argue his 12 February email was merely a negotiating step, as it opens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Confirming discussions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its other points promise nothing.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lend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fixes the amount, date, term and rate,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Please 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invites acceptance; unlike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may be prepared to sell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in</w:t>
      </w:r>
      <w:r>
        <w:rPr>
          <w:rFonts w:ascii="Times New Roman" w:hAnsi="Times New Roman"/>
          <w:sz w:val="24"/>
        </w:rPr>
        <w:t xml:space="preserve"> </w:t>
      </w:r>
      <w:r>
        <w:rPr>
          <w:iCs/>
          <w:rFonts w:ascii="Times New Roman" w:hAnsi="Times New Roman"/>
          <w:i/>
          <w:sz w:val="24"/>
        </w:rPr>
        <w:t xml:space="preserve">Gibson</w:t>
      </w:r>
      <w:r>
        <w:rPr>
          <w:rFonts w:ascii="Times New Roman" w:hAnsi="Times New Roman"/>
          <w:sz w:val="24"/>
        </w:rPr>
        <w:t xml:space="preserve">, these words are promissory,</w:t>
      </w:r>
      <w:r>
        <w:rPr>
          <w:rStyle w:val="FootnoteReference"/>
          <w:rFonts w:ascii="Times New Roman" w:hAnsi="Times New Roman"/>
          <w:sz w:val="24"/>
        </w:rPr>
        <w:footnoteReference w:id="21"/>
      </w:r>
      <w:r>
        <w:rPr>
          <w:rFonts w:ascii="Times New Roman" w:hAnsi="Times New Roman"/>
          <w:sz w:val="24"/>
        </w:rPr>
        <w:t xml:space="preserve"> </w:t>
      </w:r>
      <w:r>
        <w:rPr>
          <w:rFonts w:ascii="Times New Roman" w:hAnsi="Times New Roman"/>
          <w:sz w:val="24"/>
        </w:rPr>
        <w:t xml:space="preserve">so the first point is likely an offer, though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satisfactory conditions</w:t>
      </w:r>
      <w:r>
        <w:rPr>
          <w:rFonts w:ascii="Times New Roman" w:hAnsi="Times New Roman"/>
          <w:sz w:val="24"/>
        </w:rPr>
        <w:t xml:space="preserve">’</w:t>
      </w:r>
      <w:r>
        <w:rPr>
          <w:rFonts w:ascii="Times New Roman" w:hAnsi="Times New Roman"/>
          <w:sz w:val="24"/>
        </w:rPr>
        <w:t xml:space="preserve">.</w:t>
      </w:r>
    </w:p>
    <w:p>
      <w:pPr>
        <w:pStyle w:val="BodyText"/>
      </w:pPr>
      <w:r>
        <w:rPr>
          <w:rFonts w:ascii="Times New Roman" w:hAnsi="Times New Roman"/>
          <w:sz w:val="24"/>
        </w:rPr>
        <w:t xml:space="preserve">Acceptance requires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 of assent to an offer</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2"/>
      </w:r>
      <w:r>
        <w:rPr>
          <w:rFonts w:ascii="Times New Roman" w:hAnsi="Times New Roman"/>
          <w:sz w:val="24"/>
        </w:rPr>
        <w:t xml:space="preserve"> </w:t>
      </w:r>
      <w:r>
        <w:rPr>
          <w:rFonts w:ascii="Times New Roman" w:hAnsi="Times New Roman"/>
          <w:sz w:val="24"/>
        </w:rPr>
        <w:t xml:space="preserve">Rocky could argue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only confirmed the email’s accuracy, but it answered a request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confirm agreement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added no new terms, so it likely accepted the first point, qualifier included. Consideration would also exist, Rocky’s promise to lend being exchanged for Grace’s implied promise to repay with interest.</w:t>
      </w:r>
      <w:r>
        <w:rPr>
          <w:rStyle w:val="FootnoteReference"/>
          <w:rFonts w:ascii="Times New Roman" w:hAnsi="Times New Roman"/>
          <w:sz w:val="24"/>
        </w:rPr>
        <w:footnoteReference w:id="23"/>
      </w:r>
    </w:p>
    <w:p>
      <w:pPr>
        <w:pStyle w:val="BodyText"/>
      </w:pPr>
      <w:r>
        <w:rPr>
          <w:rFonts w:ascii="Times New Roman" w:hAnsi="Times New Roman"/>
          <w:sz w:val="24"/>
        </w:rPr>
        <w:t xml:space="preserve">The qualifier, however, raises whether the parties intended immediate obligations, which is assessed objectively, with the onus on Grace as the party alleging the contract, although their commercial status as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project developers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supports it.</w:t>
      </w:r>
      <w:r>
        <w:rPr>
          <w:rStyle w:val="FootnoteReference"/>
          <w:rFonts w:ascii="Times New Roman" w:hAnsi="Times New Roman"/>
          <w:sz w:val="24"/>
        </w:rPr>
        <w:footnoteReference w:id="24"/>
      </w:r>
      <w:r>
        <w:rPr>
          <w:rFonts w:ascii="Times New Roman" w:hAnsi="Times New Roman"/>
          <w:sz w:val="24"/>
        </w:rPr>
        <w:t xml:space="preserve"> </w:t>
      </w:r>
      <w:r>
        <w:rPr>
          <w:rFonts w:ascii="Times New Roman" w:hAnsi="Times New Roman"/>
          <w:sz w:val="24"/>
        </w:rPr>
        <w:t xml:space="preserve">The question is whether the terms were settled and merely to be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put into form</w:t>
      </w:r>
      <w:r>
        <w:rPr>
          <w:rFonts w:ascii="Times New Roman" w:hAnsi="Times New Roman"/>
          <w:sz w:val="24"/>
        </w:rPr>
        <w:t xml:space="preserve">’</w:t>
      </w:r>
      <w:r>
        <w:rPr>
          <w:rFonts w:ascii="Times New Roman" w:hAnsi="Times New Roman"/>
          <w:sz w:val="24"/>
        </w:rPr>
        <w:t xml:space="preserve">, or were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subject to a new agreement</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5"/>
      </w:r>
      <w:r>
        <w:rPr>
          <w:rFonts w:ascii="Times New Roman" w:hAnsi="Times New Roman"/>
          <w:sz w:val="24"/>
        </w:rPr>
        <w:t xml:space="preserve"> </w:t>
      </w:r>
      <w:r>
        <w:rPr>
          <w:rFonts w:ascii="Times New Roman" w:hAnsi="Times New Roman"/>
          <w:sz w:val="24"/>
        </w:rPr>
        <w:t xml:space="preserve">Grace may rely on</w:t>
      </w:r>
      <w:r>
        <w:rPr>
          <w:rFonts w:ascii="Times New Roman" w:hAnsi="Times New Roman"/>
          <w:sz w:val="24"/>
        </w:rPr>
        <w:t xml:space="preserve"> </w:t>
      </w:r>
      <w:r>
        <w:rPr>
          <w:iCs/>
          <w:rFonts w:ascii="Times New Roman" w:hAnsi="Times New Roman"/>
          <w:i/>
          <w:sz w:val="24"/>
        </w:rPr>
        <w:t xml:space="preserve">Godecke</w:t>
      </w:r>
      <w:r>
        <w:rPr>
          <w:rFonts w:ascii="Times New Roman" w:hAnsi="Times New Roman"/>
          <w:sz w:val="24"/>
        </w:rPr>
        <w:t xml:space="preserve">, where an agreement letting the vendor’s solicitors add terms bound because those terms had to be reasonable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in an objective sense</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26"/>
      </w:r>
      <w:r>
        <w:rPr>
          <w:rFonts w:ascii="Times New Roman" w:hAnsi="Times New Roman"/>
          <w:sz w:val="24"/>
        </w:rPr>
        <w:t xml:space="preserve"> </w:t>
      </w:r>
      <w:r>
        <w:rPr>
          <w:rFonts w:ascii="Times New Roman" w:hAnsi="Times New Roman"/>
          <w:sz w:val="24"/>
        </w:rPr>
        <w:t xml:space="preserve">Rocky’s qualifier contains no such standard: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satisfactory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leaves the judgment to the party the condition protects,</w:t>
      </w:r>
      <w:r>
        <w:rPr>
          <w:rStyle w:val="FootnoteReference"/>
          <w:rFonts w:ascii="Times New Roman" w:hAnsi="Times New Roman"/>
          <w:sz w:val="24"/>
        </w:rPr>
        <w:footnoteReference w:id="27"/>
      </w:r>
      <w:r>
        <w:rPr>
          <w:rFonts w:ascii="Times New Roman" w:hAnsi="Times New Roman"/>
          <w:sz w:val="24"/>
        </w:rPr>
        <w:t xml:space="preserve"> </w:t>
      </w:r>
      <w:r>
        <w:rPr>
          <w:rFonts w:ascii="Times New Roman" w:hAnsi="Times New Roman"/>
          <w:sz w:val="24"/>
        </w:rPr>
        <w:t xml:space="preserve">here Rocky, and the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conditions</w:t>
      </w:r>
      <w:r>
        <w:rPr>
          <w:rFonts w:ascii="Times New Roman" w:hAnsi="Times New Roman"/>
          <w:sz w:val="24"/>
        </w:rPr>
        <w:t xml:space="preserve">’</w:t>
      </w:r>
      <w:r>
        <w:rPr>
          <w:rFonts w:ascii="Times New Roman" w:hAnsi="Times New Roman"/>
          <w:sz w:val="24"/>
        </w:rPr>
        <w:t xml:space="preserve">, naming no external event, are most naturally further terms of the loan itself. Gibbs J doubted that an agreement leaving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further terms to be settled by one of the parties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binds,</w:t>
      </w:r>
      <w:r>
        <w:rPr>
          <w:rStyle w:val="FootnoteReference"/>
          <w:rFonts w:ascii="Times New Roman" w:hAnsi="Times New Roman"/>
          <w:sz w:val="24"/>
        </w:rPr>
        <w:footnoteReference w:id="28"/>
      </w:r>
      <w:r>
        <w:rPr>
          <w:rFonts w:ascii="Times New Roman" w:hAnsi="Times New Roman"/>
          <w:sz w:val="24"/>
        </w:rPr>
        <w:t xml:space="preserve"> </w:t>
      </w:r>
      <w:r>
        <w:rPr>
          <w:rFonts w:ascii="Times New Roman" w:hAnsi="Times New Roman"/>
          <w:sz w:val="24"/>
        </w:rPr>
        <w:t xml:space="preserve">so on balance the loan was likely left to a new agreement, negating intention to be bound immediately.</w:t>
      </w:r>
    </w:p>
    <w:p>
      <w:pPr>
        <w:pStyle w:val="BodyText"/>
      </w:pPr>
      <w:r>
        <w:rPr>
          <w:rFonts w:ascii="Times New Roman" w:hAnsi="Times New Roman"/>
          <w:sz w:val="24"/>
        </w:rPr>
        <w:t xml:space="preserve">On certainty, Grace may argue that, as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Rocky must decide honestly,</w:t>
      </w:r>
      <w:r>
        <w:rPr>
          <w:rStyle w:val="FootnoteReference"/>
          <w:rFonts w:ascii="Times New Roman" w:hAnsi="Times New Roman"/>
          <w:sz w:val="24"/>
        </w:rPr>
        <w:footnoteReference w:id="29"/>
      </w:r>
      <w:r>
        <w:rPr>
          <w:rFonts w:ascii="Times New Roman" w:hAnsi="Times New Roman"/>
          <w:sz w:val="24"/>
        </w:rPr>
        <w:t xml:space="preserve"> </w:t>
      </w:r>
      <w:r>
        <w:rPr>
          <w:rFonts w:ascii="Times New Roman" w:hAnsi="Times New Roman"/>
          <w:sz w:val="24"/>
        </w:rPr>
        <w:t xml:space="preserve">which takes a promise outside the principle that a promisor with</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discretion or option as to whether he will carry out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promise makes no contract.</w:t>
      </w:r>
      <w:r>
        <w:rPr>
          <w:rStyle w:val="FootnoteReference"/>
          <w:rFonts w:ascii="Times New Roman" w:hAnsi="Times New Roman"/>
          <w:sz w:val="24"/>
        </w:rPr>
        <w:footnoteReference w:id="30"/>
      </w:r>
      <w:r>
        <w:rPr>
          <w:rFonts w:ascii="Times New Roman" w:hAnsi="Times New Roman"/>
          <w:sz w:val="24"/>
        </w:rPr>
        <w:t xml:space="preserve"> </w:t>
      </w:r>
      <w:r>
        <w:rPr>
          <w:rFonts w:ascii="Times New Roman" w:hAnsi="Times New Roman"/>
          <w:sz w:val="24"/>
        </w:rPr>
        <w:t xml:space="preserve">However, honesty in</w:t>
      </w:r>
      <w:r>
        <w:rPr>
          <w:rFonts w:ascii="Times New Roman" w:hAnsi="Times New Roman"/>
          <w:sz w:val="24"/>
        </w:rPr>
        <w:t xml:space="preserve"> </w:t>
      </w:r>
      <w:r>
        <w:rPr>
          <w:iCs/>
          <w:rFonts w:ascii="Times New Roman" w:hAnsi="Times New Roman"/>
          <w:i/>
          <w:sz w:val="24"/>
        </w:rPr>
        <w:t xml:space="preserve">Meehan</w:t>
      </w:r>
      <w:r>
        <w:rPr>
          <w:rFonts w:ascii="Times New Roman" w:hAnsi="Times New Roman"/>
          <w:sz w:val="24"/>
        </w:rPr>
        <w:t xml:space="preserve"> </w:t>
      </w:r>
      <w:r>
        <w:rPr>
          <w:rFonts w:ascii="Times New Roman" w:hAnsi="Times New Roman"/>
          <w:sz w:val="24"/>
        </w:rPr>
        <w:t xml:space="preserve">governed a judgment on an external condition, the availability of finance, whereas Rocky’s discretion concerns the content of his own loan rather than relating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only to the fulfilment of a condition</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1"/>
      </w:r>
      <w:r>
        <w:rPr>
          <w:rFonts w:ascii="Times New Roman" w:hAnsi="Times New Roman"/>
          <w:sz w:val="24"/>
        </w:rPr>
        <w:t xml:space="preserve"> </w:t>
      </w:r>
      <w:r>
        <w:rPr>
          <w:rFonts w:ascii="Times New Roman" w:hAnsi="Times New Roman"/>
          <w:sz w:val="24"/>
        </w:rPr>
        <w:t xml:space="preserve">and honesty cannot supply terms never agreed. Rocky’s promise is therefore arguably illusory, and unless the conditions were settled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this morning</w:t>
      </w:r>
      <w:r>
        <w:rPr>
          <w:rFonts w:ascii="Times New Roman" w:hAnsi="Times New Roman"/>
          <w:sz w:val="24"/>
        </w:rPr>
        <w:t xml:space="preserve">’</w:t>
      </w:r>
      <w:r>
        <w:rPr>
          <w:rFonts w:ascii="Times New Roman" w:hAnsi="Times New Roman"/>
          <w:sz w:val="24"/>
        </w:rPr>
        <w:t xml:space="preserve">, the email likely bound neither party.</w:t>
      </w:r>
    </w:p>
    <w:p>
      <w:pPr>
        <w:pStyle w:val="BodyText"/>
      </w:pPr>
      <w:r>
        <w:rPr>
          <w:rFonts w:ascii="Times New Roman" w:hAnsi="Times New Roman"/>
          <w:sz w:val="24"/>
        </w:rPr>
        <w:t xml:space="preserve">Rocky’s 5 March demand for repayment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Loan Agreement with AMPL</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faces privity, under which only a party who provided consideration may enforce a contract.</w:t>
      </w:r>
      <w:r>
        <w:rPr>
          <w:rStyle w:val="FootnoteReference"/>
          <w:rFonts w:ascii="Times New Roman" w:hAnsi="Times New Roman"/>
          <w:sz w:val="24"/>
        </w:rPr>
        <w:footnoteReference w:id="32"/>
      </w:r>
      <w:r>
        <w:rPr>
          <w:rFonts w:ascii="Times New Roman" w:hAnsi="Times New Roman"/>
          <w:sz w:val="24"/>
        </w:rPr>
        <w:t xml:space="preserve"> </w:t>
      </w:r>
      <w:r>
        <w:rPr>
          <w:rFonts w:ascii="Times New Roman" w:hAnsi="Times New Roman"/>
          <w:sz w:val="24"/>
        </w:rPr>
        <w:t xml:space="preserve">Party status is determined from</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written instrument itself</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33"/>
      </w:r>
      <w:r>
        <w:rPr>
          <w:rFonts w:ascii="Times New Roman" w:hAnsi="Times New Roman"/>
          <w:sz w:val="24"/>
        </w:rPr>
        <w:t xml:space="preserve"> </w:t>
      </w:r>
      <w:r>
        <w:rPr>
          <w:rFonts w:ascii="Times New Roman" w:hAnsi="Times New Roman"/>
          <w:sz w:val="24"/>
        </w:rPr>
        <w:t xml:space="preserve">and the Loan Agreement was made between AMPL and Grace, whose promises to repay were exchanged for AMPL’s promises; none was made to Rocky, even as a joint promisee.</w:t>
      </w:r>
      <w:r>
        <w:rPr>
          <w:rStyle w:val="FootnoteReference"/>
          <w:rFonts w:ascii="Times New Roman" w:hAnsi="Times New Roman"/>
          <w:sz w:val="24"/>
        </w:rPr>
        <w:footnoteReference w:id="34"/>
      </w:r>
      <w:r>
        <w:rPr>
          <w:rFonts w:ascii="Times New Roman" w:hAnsi="Times New Roman"/>
          <w:sz w:val="24"/>
        </w:rPr>
        <w:t xml:space="preserve"> </w:t>
      </w:r>
      <w:r>
        <w:rPr>
          <w:rFonts w:ascii="Times New Roman" w:hAnsi="Times New Roman"/>
          <w:sz w:val="24"/>
        </w:rPr>
        <w:t xml:space="preserve">Nor was AMPL his agent: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it to lend, it advanced $1,150,000, not $1 million, and took his guarantee, so it contracted for itself,</w:t>
      </w:r>
      <w:r>
        <w:rPr>
          <w:rStyle w:val="FootnoteReference"/>
          <w:rFonts w:ascii="Times New Roman" w:hAnsi="Times New Roman"/>
          <w:sz w:val="24"/>
        </w:rPr>
        <w:footnoteReference w:id="35"/>
      </w:r>
      <w:r>
        <w:rPr>
          <w:rFonts w:ascii="Times New Roman" w:hAnsi="Times New Roman"/>
          <w:sz w:val="24"/>
        </w:rPr>
        <w:t xml:space="preserve"> </w:t>
      </w:r>
      <w:r>
        <w:rPr>
          <w:rFonts w:ascii="Times New Roman" w:hAnsi="Times New Roman"/>
          <w:sz w:val="24"/>
        </w:rPr>
        <w:t xml:space="preserve">and its advance neither performed his email nor made him a party. Grace’s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never signed anything with 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therefore reaches the right result for the wrong reason, as Mrs Coulls signed yet was not a party.</w:t>
      </w:r>
      <w:r>
        <w:rPr>
          <w:rStyle w:val="FootnoteReference"/>
          <w:rFonts w:ascii="Times New Roman" w:hAnsi="Times New Roman"/>
          <w:sz w:val="24"/>
        </w:rPr>
        <w:footnoteReference w:id="36"/>
      </w:r>
    </w:p>
    <w:p>
      <w:pPr>
        <w:pStyle w:val="BodyText"/>
      </w:pPr>
      <w:r>
        <w:rPr>
          <w:rFonts w:ascii="Times New Roman" w:hAnsi="Times New Roman"/>
          <w:sz w:val="24"/>
        </w:rPr>
        <w:t xml:space="preserve">Thus, beyond the Development Agreement, which pays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if the Project made a profit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is not shown breached, Rocky has no contractual claim against Grace, whenever the 12 months began, and Grace likely has none against him for failing to lend; nor did Grace promise to reimburse Rocky for anything he pays AMPL.</w:t>
      </w:r>
    </w:p>
    <w:bookmarkEnd w:id="37"/>
    <w:bookmarkStart w:id="62" w:name="ii.-rocky-v-ampl-alternatively-pierre"/>
    <w:p>
      <w:pPr>
        <w:pStyle w:val="Heading2"/>
      </w:pPr>
      <w:r>
        <w:rPr>
          <w:rFonts w:ascii="Times New Roman" w:hAnsi="Times New Roman"/>
        </w:rPr>
        <w:t xml:space="preserve">II. ROCKY v AMPL (ALTERNATIVELY PIERRE)</w:t>
      </w:r>
    </w:p>
    <w:p>
      <w:pPr>
        <w:pStyle w:val="FirstParagraph"/>
      </w:pPr>
      <w:r>
        <w:rPr>
          <w:rFonts w:ascii="Times New Roman" w:hAnsi="Times New Roman"/>
          <w:sz w:val="24"/>
        </w:rPr>
        <w:t xml:space="preserve">Whether a contract for the $10,000 formed at the 8 April meeting begins with Pierre’s statement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expected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Rocky to ensure Grace’s payments promised nothing, so it was likely an invitation to treat.</w:t>
      </w:r>
      <w:r>
        <w:rPr>
          <w:rStyle w:val="FootnoteReference"/>
          <w:rFonts w:ascii="Times New Roman" w:hAnsi="Times New Roman"/>
          <w:sz w:val="24"/>
        </w:rPr>
        <w:footnoteReference w:id="38"/>
      </w:r>
      <w:r>
        <w:rPr>
          <w:rFonts w:ascii="Times New Roman" w:hAnsi="Times New Roman"/>
          <w:sz w:val="24"/>
        </w:rPr>
        <w:t xml:space="preserve"> </w:t>
      </w:r>
      <w:r>
        <w:rPr>
          <w:rFonts w:ascii="Times New Roman" w:hAnsi="Times New Roman"/>
          <w:sz w:val="24"/>
        </w:rPr>
        <w:t xml:space="preserve">Rocky’s reply,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 if you also promise</w:t>
      </w:r>
      <w:r>
        <w:rPr>
          <w:rFonts w:ascii="Times New Roman" w:hAnsi="Times New Roman"/>
          <w:sz w:val="24"/>
        </w:rPr>
        <w:t xml:space="preserve">’</w:t>
      </w:r>
      <w:r>
        <w:rPr>
          <w:rFonts w:ascii="Times New Roman" w:hAnsi="Times New Roman"/>
          <w:sz w:val="24"/>
        </w:rPr>
        <w:t xml:space="preserve">, offered a promise for a promise,</w:t>
      </w:r>
      <w:r>
        <w:rPr>
          <w:rStyle w:val="FootnoteReference"/>
          <w:rFonts w:ascii="Times New Roman" w:hAnsi="Times New Roman"/>
          <w:sz w:val="24"/>
        </w:rPr>
        <w:footnoteReference w:id="39"/>
      </w:r>
      <w:r>
        <w:rPr>
          <w:rFonts w:ascii="Times New Roman" w:hAnsi="Times New Roman"/>
          <w:sz w:val="24"/>
        </w:rPr>
        <w:t xml:space="preserve"> </w:t>
      </w:r>
      <w:r>
        <w:rPr>
          <w:rFonts w:ascii="Times New Roman" w:hAnsi="Times New Roman"/>
          <w:sz w:val="24"/>
        </w:rPr>
        <w:t xml:space="preserve">which Pierre accepted when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agreed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0"/>
      </w:r>
      <w:r>
        <w:rPr>
          <w:rFonts w:ascii="Times New Roman" w:hAnsi="Times New Roman"/>
          <w:sz w:val="24"/>
        </w:rPr>
        <w:t xml:space="preserve"> </w:t>
      </w:r>
      <w:r>
        <w:rPr>
          <w:rFonts w:ascii="Times New Roman" w:hAnsi="Times New Roman"/>
          <w:sz w:val="24"/>
        </w:rPr>
        <w:t xml:space="preserve">AMPL may argue that nothing bound until the Loan Agreement was signed, but parties are bound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when, and in the manner in which, they intend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41"/>
      </w:r>
      <w:r>
        <w:rPr>
          <w:rFonts w:ascii="Times New Roman" w:hAnsi="Times New Roman"/>
          <w:sz w:val="24"/>
        </w:rPr>
        <w:t xml:space="preserve"> </w:t>
      </w:r>
      <w:r>
        <w:rPr>
          <w:rFonts w:ascii="Times New Roman" w:hAnsi="Times New Roman"/>
          <w:sz w:val="24"/>
        </w:rPr>
        <w:t xml:space="preserve">and nothing suggests Rocky’s undertaking was to await any signature, so a contract likely formed orally.</w:t>
      </w:r>
    </w:p>
    <w:p>
      <w:pPr>
        <w:pStyle w:val="BodyText"/>
      </w:pPr>
      <w:r>
        <w:rPr>
          <w:rFonts w:ascii="Times New Roman" w:hAnsi="Times New Roman"/>
          <w:sz w:val="24"/>
        </w:rPr>
        <w:t xml:space="preserve">The same agency test decides whether Pierre, with AMPL’s authority, contracted on its behalf rather than solely for himself.</w:t>
      </w:r>
      <w:r>
        <w:rPr>
          <w:rStyle w:val="FootnoteReference"/>
          <w:rFonts w:ascii="Times New Roman" w:hAnsi="Times New Roman"/>
          <w:sz w:val="24"/>
        </w:rPr>
        <w:footnoteReference w:id="42"/>
      </w:r>
      <w:r>
        <w:rPr>
          <w:rFonts w:ascii="Times New Roman" w:hAnsi="Times New Roman"/>
          <w:sz w:val="24"/>
        </w:rPr>
        <w:t xml:space="preserve"> </w:t>
      </w:r>
      <w:r>
        <w:rPr>
          <w:rFonts w:ascii="Times New Roman" w:hAnsi="Times New Roman"/>
          <w:sz w:val="24"/>
        </w:rPr>
        <w:t xml:space="preserve">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you</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points to Pierre, but Pierre controls AMPL and spoke at its office about its loan, so AMPL likely made the promise; if Pierre instead contracted for himself, Rocky’s undertaking ran to Pierre, and AMPL can rely only on the guarantee clause.</w:t>
      </w:r>
    </w:p>
    <w:p>
      <w:pPr>
        <w:pStyle w:val="BodyText"/>
      </w:pPr>
      <w:r>
        <w:rPr>
          <w:rFonts w:ascii="Times New Roman" w:hAnsi="Times New Roman"/>
          <w:sz w:val="24"/>
        </w:rPr>
        <w:t xml:space="preserve">On consideration, AMPL may invoke the existing legal duty rule, arguing that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also</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implies Rocky had already guaranteed the Loan, so his promise to ensure Grace’s payments gave nothing new.</w:t>
      </w:r>
      <w:r>
        <w:rPr>
          <w:rStyle w:val="FootnoteReference"/>
          <w:rFonts w:ascii="Times New Roman" w:hAnsi="Times New Roman"/>
          <w:sz w:val="24"/>
        </w:rPr>
        <w:footnoteReference w:id="43"/>
      </w:r>
      <w:r>
        <w:rPr>
          <w:rFonts w:ascii="Times New Roman" w:hAnsi="Times New Roman"/>
          <w:sz w:val="24"/>
        </w:rPr>
        <w:t xml:space="preserve"> </w:t>
      </w:r>
      <w:r>
        <w:rPr>
          <w:rFonts w:ascii="Times New Roman" w:hAnsi="Times New Roman"/>
          <w:sz w:val="24"/>
        </w:rPr>
        <w:t xml:space="preserve">However, the rule applies to a duty under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 pre-existing contract</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the promisee,</w:t>
      </w:r>
      <w:r>
        <w:rPr>
          <w:rStyle w:val="FootnoteReference"/>
          <w:rFonts w:ascii="Times New Roman" w:hAnsi="Times New Roman"/>
          <w:sz w:val="24"/>
        </w:rPr>
        <w:footnoteReference w:id="44"/>
      </w:r>
      <w:r>
        <w:rPr>
          <w:rFonts w:ascii="Times New Roman" w:hAnsi="Times New Roman"/>
          <w:sz w:val="24"/>
        </w:rPr>
        <w:t xml:space="preserve"> </w:t>
      </w:r>
      <w:r>
        <w:rPr>
          <w:rFonts w:ascii="Times New Roman" w:hAnsi="Times New Roman"/>
          <w:sz w:val="24"/>
        </w:rPr>
        <w:t xml:space="preserve">and none existed: on 27 February Rocky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AMPL to advance the money, and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Pierre agreed and the clause was included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suggests the clause followed the bargain. Even if the guarantee came first, ensuring that Grace made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all payments</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promptly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goes beyond guaranteeing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repayment of the Loan</w:t>
      </w:r>
      <w:r>
        <w:rPr>
          <w:rFonts w:ascii="Times New Roman" w:hAnsi="Times New Roman"/>
          <w:sz w:val="24"/>
        </w:rPr>
        <w:t xml:space="preserve">’</w:t>
      </w:r>
      <w:r>
        <w:rPr>
          <w:rFonts w:ascii="Times New Roman" w:hAnsi="Times New Roman"/>
          <w:sz w:val="24"/>
        </w:rPr>
        <w:t xml:space="preserve">, so Rocky likely provided consideration.</w:t>
      </w:r>
    </w:p>
    <w:p>
      <w:pPr>
        <w:pStyle w:val="BodyText"/>
      </w:pPr>
      <w:r>
        <w:rPr>
          <w:rFonts w:ascii="Times New Roman" w:hAnsi="Times New Roman"/>
          <w:sz w:val="24"/>
        </w:rPr>
        <w:t xml:space="preserve">Intention is contested because Pierre is Rocky’s cousin, but presumptions about family arrangements at most identify who bears the onus,</w:t>
      </w:r>
      <w:r>
        <w:rPr>
          <w:rStyle w:val="FootnoteReference"/>
          <w:rFonts w:ascii="Times New Roman" w:hAnsi="Times New Roman"/>
          <w:sz w:val="24"/>
        </w:rPr>
        <w:footnoteReference w:id="45"/>
      </w:r>
      <w:r>
        <w:rPr>
          <w:rFonts w:ascii="Times New Roman" w:hAnsi="Times New Roman"/>
          <w:sz w:val="24"/>
        </w:rPr>
        <w:t xml:space="preserve"> </w:t>
      </w:r>
      <w:r>
        <w:rPr>
          <w:rFonts w:ascii="Times New Roman" w:hAnsi="Times New Roman"/>
          <w:sz w:val="24"/>
        </w:rPr>
        <w:t xml:space="preserve">here Rocky. A promise to pay a fixed sum, made at AMPL’s office as its loan was finalised, is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appropriately promissory in character</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and commercial,</w:t>
      </w:r>
      <w:r>
        <w:rPr>
          <w:rStyle w:val="FootnoteReference"/>
          <w:rFonts w:ascii="Times New Roman" w:hAnsi="Times New Roman"/>
          <w:sz w:val="24"/>
        </w:rPr>
        <w:footnoteReference w:id="46"/>
      </w:r>
      <w:r>
        <w:rPr>
          <w:rFonts w:ascii="Times New Roman" w:hAnsi="Times New Roman"/>
          <w:sz w:val="24"/>
        </w:rPr>
        <w:t xml:space="preserve"> </w:t>
      </w:r>
      <w:r>
        <w:rPr>
          <w:rFonts w:ascii="Times New Roman" w:hAnsi="Times New Roman"/>
          <w:sz w:val="24"/>
        </w:rPr>
        <w:t xml:space="preserve">so intention is likely present whoever promised.</w:t>
      </w:r>
    </w:p>
    <w:p>
      <w:pPr>
        <w:pStyle w:val="BodyText"/>
      </w:pPr>
      <w:r>
        <w:rPr>
          <w:rFonts w:ascii="Times New Roman" w:hAnsi="Times New Roman"/>
          <w:sz w:val="24"/>
        </w:rPr>
        <w:t xml:space="preserve">Rocky’s undertaking to</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is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so obscure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as to be uncertain, because the Loan Agreement fixes the payments.</w:t>
      </w:r>
      <w:r>
        <w:rPr>
          <w:rStyle w:val="FootnoteReference"/>
          <w:rFonts w:ascii="Times New Roman" w:hAnsi="Times New Roman"/>
          <w:sz w:val="24"/>
        </w:rPr>
        <w:footnoteReference w:id="47"/>
      </w:r>
      <w:r>
        <w:rPr>
          <w:rFonts w:ascii="Times New Roman" w:hAnsi="Times New Roman"/>
          <w:sz w:val="24"/>
        </w:rPr>
        <w:t xml:space="preserve"> </w:t>
      </w:r>
      <w:r>
        <w:rPr>
          <w:rFonts w:ascii="Times New Roman" w:hAnsi="Times New Roman"/>
          <w:sz w:val="24"/>
        </w:rPr>
        <w:t xml:space="preserve">Read objectively, his unqualified</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answering Pierre’s expectation that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ensure</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payment, likely promised that Grace would pay, not merely that Rocky would try.</w:t>
      </w:r>
      <w:r>
        <w:rPr>
          <w:rStyle w:val="FootnoteReference"/>
          <w:rFonts w:ascii="Times New Roman" w:hAnsi="Times New Roman"/>
          <w:sz w:val="24"/>
        </w:rPr>
        <w:footnoteReference w:id="48"/>
      </w:r>
    </w:p>
    <w:p>
      <w:pPr>
        <w:pStyle w:val="BodyText"/>
      </w:pPr>
      <w:r>
        <w:rPr>
          <w:rFonts w:ascii="Times New Roman" w:hAnsi="Times New Roman"/>
          <w:sz w:val="24"/>
        </w:rPr>
        <w:t xml:space="preserve">A separate issue is whether the guarantee clause binds Rocky. AMPL’s call</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under the personal guarantee provided by Rocky</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shows that a guarantee was given but not its terms, and because privity prevents AMPL and Grace’s contract imposing obligations on Rocky,</w:t>
      </w:r>
      <w:r>
        <w:rPr>
          <w:rStyle w:val="FootnoteReference"/>
          <w:rFonts w:ascii="Times New Roman" w:hAnsi="Times New Roman"/>
          <w:sz w:val="24"/>
        </w:rPr>
        <w:footnoteReference w:id="49"/>
      </w:r>
      <w:r>
        <w:rPr>
          <w:rFonts w:ascii="Times New Roman" w:hAnsi="Times New Roman"/>
          <w:sz w:val="24"/>
        </w:rPr>
        <w:t xml:space="preserve"> </w:t>
      </w:r>
      <w:r>
        <w:rPr>
          <w:rFonts w:ascii="Times New Roman" w:hAnsi="Times New Roman"/>
          <w:sz w:val="24"/>
        </w:rPr>
        <w:t xml:space="preserve">AMPL must show his assent to the clause. Silence while a clause is included is generally not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an external manifestation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of assent,</w:t>
      </w:r>
      <w:r>
        <w:rPr>
          <w:rStyle w:val="FootnoteReference"/>
          <w:rFonts w:ascii="Times New Roman" w:hAnsi="Times New Roman"/>
          <w:sz w:val="24"/>
        </w:rPr>
        <w:footnoteReference w:id="50"/>
      </w:r>
      <w:r>
        <w:rPr>
          <w:rFonts w:ascii="Times New Roman" w:hAnsi="Times New Roman"/>
          <w:sz w:val="24"/>
        </w:rPr>
        <w:t xml:space="preserve"> </w:t>
      </w:r>
      <w:r>
        <w:rPr>
          <w:rFonts w:ascii="Times New Roman" w:hAnsi="Times New Roman"/>
          <w:sz w:val="24"/>
        </w:rPr>
        <w:t xml:space="preserve">but Rocky’s</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I will do that</w:t>
      </w:r>
      <w:r>
        <w:rPr>
          <w:rFonts w:ascii="Times New Roman" w:hAnsi="Times New Roman"/>
          <w:sz w:val="24"/>
        </w:rPr>
        <w:t xml:space="preserve">’</w:t>
      </w:r>
      <w:r>
        <w:rPr>
          <w:rFonts w:ascii="Times New Roman" w:hAnsi="Times New Roman"/>
          <w:sz w:val="24"/>
        </w:rPr>
        <w:t xml:space="preserve">, given for the $10,000 promise, likely binds him at least to his oral undertaking.</w:t>
      </w:r>
      <w:r>
        <w:rPr>
          <w:rStyle w:val="FootnoteReference"/>
          <w:rFonts w:ascii="Times New Roman" w:hAnsi="Times New Roman"/>
          <w:sz w:val="24"/>
        </w:rPr>
        <w:footnoteReference w:id="51"/>
      </w:r>
      <w:r>
        <w:rPr>
          <w:rFonts w:ascii="Times New Roman" w:hAnsi="Times New Roman"/>
          <w:sz w:val="24"/>
        </w:rPr>
        <w:t xml:space="preserve"> </w:t>
      </w:r>
      <w:r>
        <w:rPr>
          <w:rFonts w:ascii="Times New Roman" w:hAnsi="Times New Roman"/>
          <w:sz w:val="24"/>
        </w:rPr>
        <w:t xml:space="preserve">Having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attended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with a reasonable opportunity to object, he arguably knew the clause’s terms and assented to them by taking the $10,000 promise,</w:t>
      </w:r>
      <w:r>
        <w:rPr>
          <w:rStyle w:val="FootnoteReference"/>
          <w:rFonts w:ascii="Times New Roman" w:hAnsi="Times New Roman"/>
          <w:sz w:val="24"/>
        </w:rPr>
        <w:footnoteReference w:id="52"/>
      </w:r>
      <w:r>
        <w:rPr>
          <w:rFonts w:ascii="Times New Roman" w:hAnsi="Times New Roman"/>
          <w:sz w:val="24"/>
        </w:rPr>
        <w:t xml:space="preserve"> </w:t>
      </w:r>
      <w:r>
        <w:rPr>
          <w:rFonts w:ascii="Times New Roman" w:hAnsi="Times New Roman"/>
          <w:sz w:val="24"/>
        </w:rPr>
        <w:t xml:space="preserve">although Rocky could answer that the $10,000 priced his own words, not the clause.</w:t>
      </w:r>
    </w:p>
    <w:p>
      <w:pPr>
        <w:pStyle w:val="BodyText"/>
      </w:pPr>
      <w:r>
        <w:rPr>
          <w:rFonts w:ascii="Times New Roman" w:hAnsi="Times New Roman"/>
          <w:sz w:val="24"/>
        </w:rPr>
        <w:t xml:space="preserve">Consideration for the guarantee must move from AMPL,</w:t>
      </w:r>
      <w:r>
        <w:rPr>
          <w:rStyle w:val="FootnoteReference"/>
          <w:rFonts w:ascii="Times New Roman" w:hAnsi="Times New Roman"/>
          <w:sz w:val="24"/>
        </w:rPr>
        <w:footnoteReference w:id="53"/>
      </w:r>
      <w:r>
        <w:rPr>
          <w:rFonts w:ascii="Times New Roman" w:hAnsi="Times New Roman"/>
          <w:sz w:val="24"/>
        </w:rPr>
        <w:t xml:space="preserve"> </w:t>
      </w:r>
      <w:r>
        <w:rPr>
          <w:rFonts w:ascii="Times New Roman" w:hAnsi="Times New Roman"/>
          <w:sz w:val="24"/>
        </w:rPr>
        <w:t xml:space="preserve">and if AMPL promised the $10,000, that promise supplies it. If Pierre promised personally, AMPL’s earlier advance is past consideration,</w:t>
      </w:r>
      <w:r>
        <w:rPr>
          <w:rStyle w:val="FootnoteReference"/>
          <w:rFonts w:ascii="Times New Roman" w:hAnsi="Times New Roman"/>
          <w:sz w:val="24"/>
        </w:rPr>
        <w:footnoteReference w:id="54"/>
      </w:r>
      <w:r>
        <w:rPr>
          <w:rFonts w:ascii="Times New Roman" w:hAnsi="Times New Roman"/>
          <w:sz w:val="24"/>
        </w:rPr>
        <w:t xml:space="preserve"> </w:t>
      </w:r>
      <w:r>
        <w:rPr>
          <w:rFonts w:ascii="Times New Roman" w:hAnsi="Times New Roman"/>
          <w:sz w:val="24"/>
        </w:rPr>
        <w:t xml:space="preserve">which, though Rocky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asked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for it, counts only if both understood it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was to be remunerated</w:t>
      </w:r>
      <w:r>
        <w:rPr>
          <w:rFonts w:ascii="Times New Roman" w:hAnsi="Times New Roman"/>
          <w:sz w:val="24"/>
        </w:rPr>
        <w:t xml:space="preserve">’</w:t>
      </w:r>
      <w:r>
        <w:rPr>
          <w:rFonts w:ascii="Times New Roman" w:hAnsi="Times New Roman"/>
          <w:sz w:val="24"/>
        </w:rPr>
        <w:t xml:space="preserve">,</w:t>
      </w:r>
      <w:r>
        <w:rPr>
          <w:rStyle w:val="FootnoteReference"/>
          <w:rFonts w:ascii="Times New Roman" w:hAnsi="Times New Roman"/>
          <w:sz w:val="24"/>
        </w:rPr>
        <w:footnoteReference w:id="55"/>
      </w:r>
      <w:r>
        <w:rPr>
          <w:rFonts w:ascii="Times New Roman" w:hAnsi="Times New Roman"/>
          <w:sz w:val="24"/>
        </w:rPr>
        <w:t xml:space="preserve"> </w:t>
      </w:r>
      <w:r>
        <w:rPr>
          <w:rFonts w:ascii="Times New Roman" w:hAnsi="Times New Roman"/>
          <w:sz w:val="24"/>
        </w:rPr>
        <w:t xml:space="preserve">and nothing suggests that; AMPL’s stronger answer is that it signed the Loan Agreement only after the clause was included, an act likely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really done in consideration of</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the guarantee,</w:t>
      </w:r>
      <w:r>
        <w:rPr>
          <w:rStyle w:val="FootnoteReference"/>
          <w:rFonts w:ascii="Times New Roman" w:hAnsi="Times New Roman"/>
          <w:sz w:val="24"/>
        </w:rPr>
        <w:footnoteReference w:id="56"/>
      </w:r>
      <w:r>
        <w:rPr>
          <w:rFonts w:ascii="Times New Roman" w:hAnsi="Times New Roman"/>
          <w:sz w:val="24"/>
        </w:rPr>
        <w:t xml:space="preserve"> </w:t>
      </w:r>
      <w:r>
        <w:rPr>
          <w:rFonts w:ascii="Times New Roman" w:hAnsi="Times New Roman"/>
          <w:sz w:val="24"/>
        </w:rPr>
        <w:t xml:space="preserve">so the guarantee is likely supported if Rocky assented.</w:t>
      </w:r>
    </w:p>
    <w:p>
      <w:pPr>
        <w:pStyle w:val="BodyText"/>
      </w:pPr>
      <w:r>
        <w:rPr>
          <w:rFonts w:ascii="Times New Roman" w:hAnsi="Times New Roman"/>
          <w:sz w:val="24"/>
        </w:rPr>
        <w:t xml:space="preserve">Whether AMPL’s call was premature depends on when the 12 months began. Post-contractual conduct cannot interpret the term,</w:t>
      </w:r>
      <w:r>
        <w:rPr>
          <w:rStyle w:val="FootnoteReference"/>
          <w:rFonts w:ascii="Times New Roman" w:hAnsi="Times New Roman"/>
          <w:sz w:val="24"/>
        </w:rPr>
        <w:footnoteReference w:id="57"/>
      </w:r>
      <w:r>
        <w:rPr>
          <w:rFonts w:ascii="Times New Roman" w:hAnsi="Times New Roman"/>
          <w:sz w:val="24"/>
        </w:rPr>
        <w:t xml:space="preserve"> </w:t>
      </w:r>
      <w:r>
        <w:rPr>
          <w:rFonts w:ascii="Times New Roman" w:hAnsi="Times New Roman"/>
          <w:sz w:val="24"/>
        </w:rPr>
        <w:t xml:space="preserve">but because the term specifies no start and is arguably ambiguous, mutually known facts showing</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the genesis of the transaction</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are admissible.</w:t>
      </w:r>
      <w:r>
        <w:rPr>
          <w:rStyle w:val="FootnoteReference"/>
          <w:rFonts w:ascii="Times New Roman" w:hAnsi="Times New Roman"/>
          <w:sz w:val="24"/>
        </w:rPr>
        <w:footnoteReference w:id="58"/>
      </w:r>
      <w:r>
        <w:rPr>
          <w:rFonts w:ascii="Times New Roman" w:hAnsi="Times New Roman"/>
          <w:sz w:val="24"/>
        </w:rPr>
        <w:t xml:space="preserve"> </w:t>
      </w:r>
      <w:r>
        <w:rPr>
          <w:rFonts w:ascii="Times New Roman" w:hAnsi="Times New Roman"/>
          <w:sz w:val="24"/>
        </w:rPr>
        <w:t xml:space="preserve">AMPL may argue the term ran from its 27 February advance, since the agreement</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 loan already made. However,</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recorded</w:t>
      </w:r>
      <w:r>
        <w:rPr>
          <w:rFonts w:ascii="Times New Roman" w:hAnsi="Times New Roman"/>
          <w:sz w:val="24"/>
        </w:rPr>
        <w:t xml:space="preserve">’</w:t>
      </w:r>
      <w:r>
        <w:rPr>
          <w:rFonts w:ascii="Times New Roman" w:hAnsi="Times New Roman"/>
          <w:sz w:val="24"/>
        </w:rPr>
        <w:t xml:space="preserve"> </w:t>
      </w:r>
      <w:r>
        <w:rPr>
          <w:rFonts w:ascii="Times New Roman" w:hAnsi="Times New Roman"/>
          <w:sz w:val="24"/>
        </w:rPr>
        <w:t xml:space="preserve">applies equally to the 4% rate, which nothing shows was agreed before 8 April, and the genesis shows only when the money moved, not that a term first agreed on 8 April began earlier. The term therefore arguably ran from 8 April 2024, making the 9 March 2025 call premature unless the Loan Agreement dates it from the advance.</w:t>
      </w:r>
    </w:p>
    <w:p>
      <w:pPr>
        <w:pStyle w:val="BodyText"/>
      </w:pPr>
      <w:r>
        <w:rPr>
          <w:rFonts w:ascii="Times New Roman" w:hAnsi="Times New Roman"/>
          <w:sz w:val="24"/>
        </w:rPr>
        <w:t xml:space="preserve">The $10,000 is payable only</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once Grace repays the Loan</w:t>
      </w:r>
      <w:r>
        <w:rPr>
          <w:rFonts w:ascii="Times New Roman" w:hAnsi="Times New Roman"/>
          <w:sz w:val="24"/>
        </w:rPr>
        <w:t xml:space="preserve">’</w:t>
      </w:r>
      <w:r>
        <w:rPr>
          <w:rFonts w:ascii="Times New Roman" w:hAnsi="Times New Roman"/>
          <w:sz w:val="24"/>
        </w:rPr>
        <w:t xml:space="preserve">, a condition precedent to AMPL’s obligation rather than to the contract, which bound immediately,</w:t>
      </w:r>
      <w:r>
        <w:rPr>
          <w:rStyle w:val="FootnoteReference"/>
          <w:rFonts w:ascii="Times New Roman" w:hAnsi="Times New Roman"/>
          <w:sz w:val="24"/>
        </w:rPr>
        <w:footnoteReference w:id="59"/>
      </w:r>
      <w:r>
        <w:rPr>
          <w:rFonts w:ascii="Times New Roman" w:hAnsi="Times New Roman"/>
          <w:sz w:val="24"/>
        </w:rPr>
        <w:t xml:space="preserve"> </w:t>
      </w:r>
      <w:r>
        <w:rPr>
          <w:rFonts w:ascii="Times New Roman" w:hAnsi="Times New Roman"/>
          <w:sz w:val="24"/>
        </w:rPr>
        <w:t xml:space="preserve">so nothing was payable on 9 March 2025, when Grace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had not yet repaid</w:t>
      </w:r>
      <w:r>
        <w:rPr>
          <w:rFonts w:ascii="Times New Roman" w:hAnsi="Times New Roman"/>
          <w:sz w:val="24"/>
        </w:rPr>
        <w:t xml:space="preserve">’</w:t>
      </w:r>
      <w:r>
        <w:rPr>
          <w:rFonts w:ascii="Times New Roman" w:hAnsi="Times New Roman"/>
          <w:sz w:val="24"/>
        </w:rPr>
        <w:t xml:space="preserve">. Rocky could argue that, read commercially, his own repayment satisfies the condition;</w:t>
      </w:r>
      <w:r>
        <w:rPr>
          <w:rStyle w:val="FootnoteReference"/>
          <w:rFonts w:ascii="Times New Roman" w:hAnsi="Times New Roman"/>
          <w:sz w:val="24"/>
        </w:rPr>
        <w:footnoteReference w:id="60"/>
      </w:r>
      <w:r>
        <w:rPr>
          <w:rFonts w:ascii="Times New Roman" w:hAnsi="Times New Roman"/>
          <w:sz w:val="24"/>
        </w:rPr>
        <w:t xml:space="preserve"> </w:t>
      </w:r>
      <w:r>
        <w:rPr>
          <w:rFonts w:ascii="Times New Roman" w:hAnsi="Times New Roman"/>
          <w:sz w:val="24"/>
        </w:rPr>
        <w:t xml:space="preserve">however, the words refer to Grace, and the $10,000 priced his promise that Grace would pay, not his paying instead, so his payment likely leaves the condition unfulfilled.</w:t>
      </w:r>
    </w:p>
    <w:p>
      <w:pPr>
        <w:pStyle w:val="BodyText"/>
      </w:pPr>
      <w:r>
        <w:rPr>
          <w:rFonts w:ascii="Times New Roman" w:hAnsi="Times New Roman"/>
          <w:sz w:val="24"/>
        </w:rPr>
        <w:t xml:space="preserve">Accordingly, if Rocky assented to the clause, by which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personally guaranteed repayment of the Loan</w:t>
      </w:r>
      <w:r>
        <w:rPr>
          <w:rFonts w:ascii="Times New Roman" w:hAnsi="Times New Roman"/>
          <w:sz w:val="24"/>
        </w:rPr>
        <w:t xml:space="preserve">’</w:t>
      </w:r>
      <w:r>
        <w:rPr>
          <w:rFonts w:ascii="Times New Roman" w:hAnsi="Times New Roman"/>
          <w:sz w:val="24"/>
        </w:rPr>
        <w:t xml:space="preserve">, he is liable for $1,150,000 once the Loan is due and unpaid: immediately if the term ran from 27 February, or from 8 April 2025 if Grace has still not repaid. If bound only by his oral undertaking, Grace’s failure to pay any amount when due likely breaches it and exposes him to damages. His $10,000 claim, against AMPL or alternatively Pierre, likely stands but is conditional:</w:t>
      </w:r>
      <w:r>
        <w:rPr>
          <w:rStyle w:val="FootnoteReference"/>
          <w:rFonts w:ascii="Times New Roman" w:hAnsi="Times New Roman"/>
          <w:sz w:val="24"/>
        </w:rPr>
        <w:footnoteReference w:id="61"/>
      </w:r>
      <w:r>
        <w:rPr>
          <w:rFonts w:ascii="Times New Roman" w:hAnsi="Times New Roman"/>
          <w:sz w:val="24"/>
        </w:rPr>
        <w:t xml:space="preserve"> </w:t>
      </w:r>
      <w:r>
        <w:rPr>
          <w:rFonts w:ascii="Times New Roman" w:hAnsi="Times New Roman"/>
          <w:sz w:val="24"/>
        </w:rPr>
        <w:t xml:space="preserve">it falls due only when Grace repays, so never if Grace, who said he</w:t>
      </w:r>
      <w:r>
        <w:rPr>
          <w:rFonts w:ascii="Times New Roman" w:hAnsi="Times New Roman"/>
          <w:sz w:val="24"/>
        </w:rPr>
        <w:t xml:space="preserve"> </w:t>
      </w:r>
      <w:r>
        <w:rPr>
          <w:rFonts w:ascii="Times New Roman" w:hAnsi="Times New Roman"/>
          <w:sz w:val="24"/>
        </w:rPr>
        <w:t xml:space="preserve">‘</w:t>
      </w:r>
      <w:r>
        <w:rPr>
          <w:rFonts w:ascii="Times New Roman" w:hAnsi="Times New Roman"/>
          <w:sz w:val="24"/>
        </w:rPr>
        <w:t xml:space="preserve">might not pay at all</w:t>
      </w:r>
      <w:r>
        <w:rPr>
          <w:rFonts w:ascii="Times New Roman" w:hAnsi="Times New Roman"/>
          <w:sz w:val="24"/>
        </w:rPr>
        <w:t xml:space="preserve">’</w:t>
      </w:r>
      <w:r>
        <w:rPr>
          <w:rFonts w:ascii="Times New Roman" w:hAnsi="Times New Roman"/>
          <w:sz w:val="24"/>
        </w:rPr>
        <w:t xml:space="preserve">, never repays, and likely never if Rocky pays it himself.</w:t>
      </w:r>
    </w:p>
    <w:p>
      <w:pPr>
        <w:pStyle w:val="BodyText"/>
      </w:pPr>
      <w:r>
        <w:rPr>
          <w:rFonts w:ascii="Times New Roman" w:hAnsi="Times New Roman"/>
          <w:sz w:val="24"/>
        </w:rPr>
        <w:t xml:space="preserve">Word count: 1,499</w:t>
      </w:r>
    </w:p>
    <w:bookmarkEnd w:id="62"/>
    <w:sectPr>
      <w:headerReference w:type="default" r:id="rId9"/>
      <w:footerReference w:type="default" r:id="rId10"/>
      <w:pgSz w:w="11906" w:h="16838"/>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sz w:val="24"/>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rPr>
          <w:rFonts w:ascii="Times New Roman" w:hAnsi="Times New Roman" w:cs="Times New Roman"/>
        </w:rPr>
        <w:continuationSeparator/>
      </w:r>
    </w:p>
  </w:footnote>
  <w:footnote w:type="separator" w:id="-1">
    <w:p>
      <w:r>
        <w:rPr>
          <w:rFonts w:ascii="Times New Roman" w:hAnsi="Times New Roman" w:cs="Times New Roman"/>
        </w:rPr>
        <w:separator/>
      </w:r>
    </w:p>
  </w:footnote>
  <w:footnote w:id="2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 v Manchester City Council</w:t>
      </w:r>
      <w:r>
        <w:rPr>
          <w:rFonts w:ascii="Times New Roman" w:hAnsi="Times New Roman" w:cs="Times New Roman"/>
        </w:rPr>
        <w:t xml:space="preserve"> </w:t>
      </w:r>
      <w:r>
        <w:rPr>
          <w:rFonts w:ascii="Times New Roman" w:hAnsi="Times New Roman" w:cs="Times New Roman"/>
        </w:rPr>
        <w:t xml:space="preserve">[1979] 1 WLR 294, 298 (Lord Diplock) (</w:t>
      </w:r>
      <w:r>
        <w:rPr>
          <w:rFonts w:ascii="Times New Roman" w:hAnsi="Times New Roman" w:cs="Times New Roman"/>
        </w:rPr>
        <w:t xml:space="preserve">‘</w:t>
      </w:r>
      <w:r>
        <w:rPr>
          <w:iCs/>
          <w:i/>
          <w:rFonts w:ascii="Times New Roman" w:hAnsi="Times New Roman" w:cs="Times New Roman"/>
        </w:rPr>
        <w:t xml:space="preserve">Gibson</w:t>
      </w:r>
      <w:r>
        <w:rPr>
          <w:rFonts w:ascii="Times New Roman" w:hAnsi="Times New Roman" w:cs="Times New Roman"/>
        </w:rPr>
        <w:t xml:space="preserve">’</w:t>
      </w:r>
      <w:r>
        <w:rPr>
          <w:rFonts w:ascii="Times New Roman" w:hAnsi="Times New Roman" w:cs="Times New Roman"/>
        </w:rPr>
        <w:t xml:space="preserve">).</w:t>
      </w:r>
    </w:p>
  </w:footnote>
  <w:footnote w:id="2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w:t>
      </w:r>
    </w:p>
  </w:footnote>
  <w:footnote w:id="2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 Holdings Pty Ltd v Machon Paull Partners Pty Ltd</w:t>
      </w:r>
      <w:r>
        <w:rPr>
          <w:rFonts w:ascii="Times New Roman" w:hAnsi="Times New Roman" w:cs="Times New Roman"/>
        </w:rPr>
        <w:t xml:space="preserve"> </w:t>
      </w:r>
      <w:r>
        <w:rPr>
          <w:rFonts w:ascii="Times New Roman" w:hAnsi="Times New Roman" w:cs="Times New Roman"/>
        </w:rPr>
        <w:t xml:space="preserve">(1988) 14 NSWLR 523, 534 (McHugh JA) (</w:t>
      </w:r>
      <w:r>
        <w:rPr>
          <w:rFonts w:ascii="Times New Roman" w:hAnsi="Times New Roman" w:cs="Times New Roman"/>
        </w:rPr>
        <w:t xml:space="preserve">‘</w:t>
      </w:r>
      <w:r>
        <w:rPr>
          <w:iCs/>
          <w:i/>
          <w:rFonts w:ascii="Times New Roman" w:hAnsi="Times New Roman" w:cs="Times New Roman"/>
        </w:rPr>
        <w:t xml:space="preserve">Empirnall</w:t>
      </w:r>
      <w:r>
        <w:rPr>
          <w:rFonts w:ascii="Times New Roman" w:hAnsi="Times New Roman" w:cs="Times New Roman"/>
        </w:rPr>
        <w:t xml:space="preserve">’</w:t>
      </w:r>
      <w:r>
        <w:rPr>
          <w:rFonts w:ascii="Times New Roman" w:hAnsi="Times New Roman" w:cs="Times New Roman"/>
        </w:rPr>
        <w:t xml:space="preserve">).</w:t>
      </w:r>
    </w:p>
  </w:footnote>
  <w:footnote w:id="2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 Pty Ltd v Commonwealth</w:t>
      </w:r>
      <w:r>
        <w:rPr>
          <w:rFonts w:ascii="Times New Roman" w:hAnsi="Times New Roman" w:cs="Times New Roman"/>
        </w:rPr>
        <w:t xml:space="preserve"> </w:t>
      </w:r>
      <w:r>
        <w:rPr>
          <w:rFonts w:ascii="Times New Roman" w:hAnsi="Times New Roman" w:cs="Times New Roman"/>
        </w:rPr>
        <w:t xml:space="preserve">(1954) 92 CLR 424, 456–7 (</w:t>
      </w:r>
      <w:r>
        <w:rPr>
          <w:rFonts w:ascii="Times New Roman" w:hAnsi="Times New Roman" w:cs="Times New Roman"/>
        </w:rPr>
        <w:t xml:space="preserve">‘</w:t>
      </w:r>
      <w:r>
        <w:rPr>
          <w:iCs/>
          <w:i/>
          <w:rFonts w:ascii="Times New Roman" w:hAnsi="Times New Roman" w:cs="Times New Roman"/>
        </w:rPr>
        <w:t xml:space="preserve">Australian Woollen Mills</w:t>
      </w:r>
      <w:r>
        <w:rPr>
          <w:rFonts w:ascii="Times New Roman" w:hAnsi="Times New Roman" w:cs="Times New Roman"/>
        </w:rPr>
        <w:t xml:space="preserve">’</w:t>
      </w:r>
      <w:r>
        <w:rPr>
          <w:rFonts w:ascii="Times New Roman" w:hAnsi="Times New Roman" w:cs="Times New Roman"/>
        </w:rPr>
        <w:t xml:space="preserve">).</w:t>
      </w:r>
    </w:p>
  </w:footnote>
  <w:footnote w:id="2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 v Greek Orthodox Community of SA Inc</w:t>
      </w:r>
      <w:r>
        <w:rPr>
          <w:rFonts w:ascii="Times New Roman" w:hAnsi="Times New Roman" w:cs="Times New Roman"/>
        </w:rPr>
        <w:t xml:space="preserve"> </w:t>
      </w:r>
      <w:r>
        <w:rPr>
          <w:rFonts w:ascii="Times New Roman" w:hAnsi="Times New Roman" w:cs="Times New Roman"/>
        </w:rPr>
        <w:t xml:space="preserve">(2002) 209 CLR 95, [25]–[26] (Gaudron, McHugh, Hayne and Callinan JJ) (</w:t>
      </w:r>
      <w:r>
        <w:rPr>
          <w:rFonts w:ascii="Times New Roman" w:hAnsi="Times New Roman" w:cs="Times New Roman"/>
        </w:rPr>
        <w:t xml:space="preserve">‘</w:t>
      </w:r>
      <w:r>
        <w:rPr>
          <w:iCs/>
          <w:i/>
          <w:rFonts w:ascii="Times New Roman" w:hAnsi="Times New Roman" w:cs="Times New Roman"/>
        </w:rPr>
        <w:t xml:space="preserve">Ermogenous</w:t>
      </w:r>
      <w:r>
        <w:rPr>
          <w:rFonts w:ascii="Times New Roman" w:hAnsi="Times New Roman" w:cs="Times New Roman"/>
        </w:rPr>
        <w:t xml:space="preserve">’</w:t>
      </w:r>
      <w:r>
        <w:rPr>
          <w:rFonts w:ascii="Times New Roman" w:hAnsi="Times New Roman" w:cs="Times New Roman"/>
        </w:rPr>
        <w:t xml:space="preserve">).</w:t>
      </w:r>
    </w:p>
  </w:footnote>
  <w:footnote w:id="2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Masters v Cameron</w:t>
      </w:r>
      <w:r>
        <w:rPr>
          <w:rFonts w:ascii="Times New Roman" w:hAnsi="Times New Roman" w:cs="Times New Roman"/>
        </w:rPr>
        <w:t xml:space="preserve"> </w:t>
      </w:r>
      <w:r>
        <w:rPr>
          <w:rFonts w:ascii="Times New Roman" w:hAnsi="Times New Roman" w:cs="Times New Roman"/>
        </w:rPr>
        <w:t xml:space="preserve">(1954) 91 CLR 353, 363, quoting</w:t>
      </w:r>
      <w:r>
        <w:rPr>
          <w:rFonts w:ascii="Times New Roman" w:hAnsi="Times New Roman" w:cs="Times New Roman"/>
        </w:rPr>
        <w:t xml:space="preserve"> </w:t>
      </w:r>
      <w:r>
        <w:rPr>
          <w:iCs/>
          <w:i/>
          <w:rFonts w:ascii="Times New Roman" w:hAnsi="Times New Roman" w:cs="Times New Roman"/>
        </w:rPr>
        <w:t xml:space="preserve">Winn v Bull</w:t>
      </w:r>
      <w:r>
        <w:rPr>
          <w:rFonts w:ascii="Times New Roman" w:hAnsi="Times New Roman" w:cs="Times New Roman"/>
        </w:rPr>
        <w:t xml:space="preserve"> </w:t>
      </w:r>
      <w:r>
        <w:rPr>
          <w:rFonts w:ascii="Times New Roman" w:hAnsi="Times New Roman" w:cs="Times New Roman"/>
        </w:rPr>
        <w:t xml:space="preserve">(1877) 7 Ch D 29, 32 (Jessel MR).</w:t>
      </w:r>
    </w:p>
  </w:footnote>
  <w:footnote w:id="2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 v Kirwan</w:t>
      </w:r>
      <w:r>
        <w:rPr>
          <w:rFonts w:ascii="Times New Roman" w:hAnsi="Times New Roman" w:cs="Times New Roman"/>
        </w:rPr>
        <w:t xml:space="preserve"> </w:t>
      </w:r>
      <w:r>
        <w:rPr>
          <w:rFonts w:ascii="Times New Roman" w:hAnsi="Times New Roman" w:cs="Times New Roman"/>
        </w:rPr>
        <w:t xml:space="preserve">(1973) 129 CLR 629, 642–3 (Walsh J) (</w:t>
      </w:r>
      <w:r>
        <w:rPr>
          <w:rFonts w:ascii="Times New Roman" w:hAnsi="Times New Roman" w:cs="Times New Roman"/>
        </w:rPr>
        <w:t xml:space="preserve">‘</w:t>
      </w:r>
      <w:r>
        <w:rPr>
          <w:iCs/>
          <w:i/>
          <w:rFonts w:ascii="Times New Roman" w:hAnsi="Times New Roman" w:cs="Times New Roman"/>
        </w:rPr>
        <w:t xml:space="preserve">Godecke</w:t>
      </w:r>
      <w:r>
        <w:rPr>
          <w:rFonts w:ascii="Times New Roman" w:hAnsi="Times New Roman" w:cs="Times New Roman"/>
        </w:rPr>
        <w:t xml:space="preserve">’</w:t>
      </w:r>
      <w:r>
        <w:rPr>
          <w:rFonts w:ascii="Times New Roman" w:hAnsi="Times New Roman" w:cs="Times New Roman"/>
        </w:rPr>
        <w:t xml:space="preserve">).</w:t>
      </w:r>
    </w:p>
  </w:footnote>
  <w:footnote w:id="2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 v Jones</w:t>
      </w:r>
      <w:r>
        <w:rPr>
          <w:rFonts w:ascii="Times New Roman" w:hAnsi="Times New Roman" w:cs="Times New Roman"/>
        </w:rPr>
        <w:t xml:space="preserve"> </w:t>
      </w:r>
      <w:r>
        <w:rPr>
          <w:rFonts w:ascii="Times New Roman" w:hAnsi="Times New Roman" w:cs="Times New Roman"/>
        </w:rPr>
        <w:t xml:space="preserve">(1982) 149 CLR 571, 580–1 (Gibbs CJ) (</w:t>
      </w:r>
      <w:r>
        <w:rPr>
          <w:rFonts w:ascii="Times New Roman" w:hAnsi="Times New Roman" w:cs="Times New Roman"/>
        </w:rPr>
        <w:t xml:space="preserve">‘</w:t>
      </w:r>
      <w:r>
        <w:rPr>
          <w:iCs/>
          <w:i/>
          <w:rFonts w:ascii="Times New Roman" w:hAnsi="Times New Roman" w:cs="Times New Roman"/>
        </w:rPr>
        <w:t xml:space="preserve">Meehan</w:t>
      </w:r>
      <w:r>
        <w:rPr>
          <w:rFonts w:ascii="Times New Roman" w:hAnsi="Times New Roman" w:cs="Times New Roman"/>
        </w:rPr>
        <w:t xml:space="preserve">’</w:t>
      </w:r>
      <w:r>
        <w:rPr>
          <w:rFonts w:ascii="Times New Roman" w:hAnsi="Times New Roman" w:cs="Times New Roman"/>
        </w:rPr>
        <w:t xml:space="preserve">).</w:t>
      </w:r>
    </w:p>
  </w:footnote>
  <w:footnote w:id="2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Godecke</w:t>
      </w:r>
      <w:r>
        <w:rPr>
          <w:rFonts w:ascii="Times New Roman" w:hAnsi="Times New Roman" w:cs="Times New Roman"/>
        </w:rPr>
        <w:t xml:space="preserve"> </w:t>
      </w:r>
      <w:r>
        <w:rPr>
          <w:rFonts w:ascii="Times New Roman" w:hAnsi="Times New Roman" w:cs="Times New Roman"/>
        </w:rPr>
        <w:t xml:space="preserve">(n 7) 646–7 (Gibbs J).</w:t>
      </w:r>
    </w:p>
  </w:footnote>
  <w:footnote w:id="2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589–90 (Mason J), quoting</w:t>
      </w:r>
      <w:r>
        <w:rPr>
          <w:rFonts w:ascii="Times New Roman" w:hAnsi="Times New Roman" w:cs="Times New Roman"/>
        </w:rPr>
        <w:t xml:space="preserve"> </w:t>
      </w:r>
      <w:r>
        <w:rPr>
          <w:iCs/>
          <w:i/>
          <w:rFonts w:ascii="Times New Roman" w:hAnsi="Times New Roman" w:cs="Times New Roman"/>
        </w:rPr>
        <w:t xml:space="preserve">Thorby v Goldberg</w:t>
      </w:r>
      <w:r>
        <w:rPr>
          <w:rFonts w:ascii="Times New Roman" w:hAnsi="Times New Roman" w:cs="Times New Roman"/>
        </w:rPr>
        <w:t xml:space="preserve"> </w:t>
      </w:r>
      <w:r>
        <w:rPr>
          <w:rFonts w:ascii="Times New Roman" w:hAnsi="Times New Roman" w:cs="Times New Roman"/>
        </w:rPr>
        <w:t xml:space="preserve">(1964) 112 CLR 597, 605.</w:t>
      </w:r>
    </w:p>
  </w:footnote>
  <w:footnote w:id="3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581 (Gibbs CJ).</w:t>
      </w:r>
    </w:p>
  </w:footnote>
  <w:footnote w:id="3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 v Bagot’s Executor &amp; Trustee Co Ltd</w:t>
      </w:r>
      <w:r>
        <w:rPr>
          <w:rFonts w:ascii="Times New Roman" w:hAnsi="Times New Roman" w:cs="Times New Roman"/>
        </w:rPr>
        <w:t xml:space="preserve"> </w:t>
      </w:r>
      <w:r>
        <w:rPr>
          <w:rFonts w:ascii="Times New Roman" w:hAnsi="Times New Roman" w:cs="Times New Roman"/>
        </w:rPr>
        <w:t xml:space="preserve">(1967) 119 CLR 460, 494–5 (Windeyer J dissenting) (</w:t>
      </w:r>
      <w:r>
        <w:rPr>
          <w:rFonts w:ascii="Times New Roman" w:hAnsi="Times New Roman" w:cs="Times New Roman"/>
        </w:rPr>
        <w:t xml:space="preserve">‘</w:t>
      </w:r>
      <w:r>
        <w:rPr>
          <w:iCs/>
          <w:i/>
          <w:rFonts w:ascii="Times New Roman" w:hAnsi="Times New Roman" w:cs="Times New Roman"/>
        </w:rPr>
        <w:t xml:space="preserve">Coulls</w:t>
      </w:r>
      <w:r>
        <w:rPr>
          <w:rFonts w:ascii="Times New Roman" w:hAnsi="Times New Roman" w:cs="Times New Roman"/>
        </w:rPr>
        <w:t xml:space="preserve">’</w:t>
      </w:r>
      <w:r>
        <w:rPr>
          <w:rFonts w:ascii="Times New Roman" w:hAnsi="Times New Roman" w:cs="Times New Roman"/>
        </w:rPr>
        <w:t xml:space="preserve">).</w:t>
      </w:r>
    </w:p>
  </w:footnote>
  <w:footnote w:id="3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487 (Taylor and Owen JJ).</w:t>
      </w:r>
    </w:p>
  </w:footnote>
  <w:footnote w:id="3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486 (Taylor and Owen JJ).</w:t>
      </w:r>
    </w:p>
  </w:footnote>
  <w:footnote w:id="3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 Stevedoring Pty Ltd v Salmond &amp; Spraggon (Aust) Pty Ltd</w:t>
      </w:r>
      <w:r>
        <w:rPr>
          <w:rFonts w:ascii="Times New Roman" w:hAnsi="Times New Roman" w:cs="Times New Roman"/>
        </w:rPr>
        <w:t xml:space="preserve"> </w:t>
      </w:r>
      <w:r>
        <w:rPr>
          <w:rFonts w:ascii="Times New Roman" w:hAnsi="Times New Roman" w:cs="Times New Roman"/>
        </w:rPr>
        <w:t xml:space="preserve">(1978) 139 CLR 231, 269 (Mason and Jacobs JJ, quoting Lord Reid in</w:t>
      </w:r>
      <w:r>
        <w:rPr>
          <w:rFonts w:ascii="Times New Roman" w:hAnsi="Times New Roman" w:cs="Times New Roman"/>
        </w:rPr>
        <w:t xml:space="preserve"> </w:t>
      </w:r>
      <w:r>
        <w:rPr>
          <w:iCs/>
          <w:i/>
          <w:rFonts w:ascii="Times New Roman" w:hAnsi="Times New Roman" w:cs="Times New Roman"/>
        </w:rPr>
        <w:t xml:space="preserve">Scruttons Ltd v Midland Silicones Ltd</w:t>
      </w:r>
      <w:r>
        <w:rPr>
          <w:rFonts w:ascii="Times New Roman" w:hAnsi="Times New Roman" w:cs="Times New Roman"/>
        </w:rPr>
        <w:t xml:space="preserve"> </w:t>
      </w:r>
      <w:r>
        <w:rPr>
          <w:rFonts w:ascii="Times New Roman" w:hAnsi="Times New Roman" w:cs="Times New Roman"/>
        </w:rPr>
        <w:t xml:space="preserve">[1962] AC 446, 474), rev’d (1980) 144 CLR 300 (</w:t>
      </w:r>
      <w:r>
        <w:rPr>
          <w:rFonts w:ascii="Times New Roman" w:hAnsi="Times New Roman" w:cs="Times New Roman"/>
        </w:rPr>
        <w:t xml:space="preserve">‘</w:t>
      </w:r>
      <w:r>
        <w:rPr>
          <w:iCs/>
          <w:i/>
          <w:rFonts w:ascii="Times New Roman" w:hAnsi="Times New Roman" w:cs="Times New Roman"/>
        </w:rPr>
        <w:t xml:space="preserve">Port Jackson</w:t>
      </w:r>
      <w:r>
        <w:rPr>
          <w:rFonts w:ascii="Times New Roman" w:hAnsi="Times New Roman" w:cs="Times New Roman"/>
        </w:rPr>
        <w:t xml:space="preserve">’</w:t>
      </w:r>
      <w:r>
        <w:rPr>
          <w:rFonts w:ascii="Times New Roman" w:hAnsi="Times New Roman" w:cs="Times New Roman"/>
        </w:rPr>
        <w:t xml:space="preserve">).</w:t>
      </w:r>
    </w:p>
  </w:footnote>
  <w:footnote w:id="3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487 (Taylor and Owen JJ).</w:t>
      </w:r>
    </w:p>
  </w:footnote>
  <w:footnote w:id="3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Gibson</w:t>
      </w:r>
      <w:r>
        <w:rPr>
          <w:rFonts w:ascii="Times New Roman" w:hAnsi="Times New Roman" w:cs="Times New Roman"/>
        </w:rPr>
        <w:t xml:space="preserve"> </w:t>
      </w:r>
      <w:r>
        <w:rPr>
          <w:rFonts w:ascii="Times New Roman" w:hAnsi="Times New Roman" w:cs="Times New Roman"/>
        </w:rPr>
        <w:t xml:space="preserve">(n 1) 298 (Lord Diplock).</w:t>
      </w:r>
    </w:p>
  </w:footnote>
  <w:footnote w:id="3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 Holdings Ltd v Bathurst City Council</w:t>
      </w:r>
      <w:r>
        <w:rPr>
          <w:rFonts w:ascii="Times New Roman" w:hAnsi="Times New Roman" w:cs="Times New Roman"/>
        </w:rPr>
        <w:t xml:space="preserve"> </w:t>
      </w:r>
      <w:r>
        <w:rPr>
          <w:rFonts w:ascii="Times New Roman" w:hAnsi="Times New Roman" w:cs="Times New Roman"/>
        </w:rPr>
        <w:t xml:space="preserve">(2001) 53 NSWLR 153, 177 (Heydon JA) (</w:t>
      </w:r>
      <w:r>
        <w:rPr>
          <w:rFonts w:ascii="Times New Roman" w:hAnsi="Times New Roman" w:cs="Times New Roman"/>
        </w:rPr>
        <w:t xml:space="preserve">‘</w:t>
      </w:r>
      <w:r>
        <w:rPr>
          <w:iCs/>
          <w:i/>
          <w:rFonts w:ascii="Times New Roman" w:hAnsi="Times New Roman" w:cs="Times New Roman"/>
        </w:rPr>
        <w:t xml:space="preserve">Brambles</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Integrated Computer Services Pty Ltd v Digital Equipment Corp (Aust) Pty Ltd</w:t>
      </w:r>
      <w:r>
        <w:rPr>
          <w:rFonts w:ascii="Times New Roman" w:hAnsi="Times New Roman" w:cs="Times New Roman"/>
        </w:rPr>
        <w:t xml:space="preserve"> </w:t>
      </w:r>
      <w:r>
        <w:rPr>
          <w:rFonts w:ascii="Times New Roman" w:hAnsi="Times New Roman" w:cs="Times New Roman"/>
        </w:rPr>
        <w:t xml:space="preserve">(1988) 5 BPR 11,110, 11,117–18 (McHugh JA).</w:t>
      </w:r>
    </w:p>
  </w:footnote>
  <w:footnote w:id="4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4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19) 176 (Heydon JA), quoting</w:t>
      </w:r>
      <w:r>
        <w:rPr>
          <w:rFonts w:ascii="Times New Roman" w:hAnsi="Times New Roman" w:cs="Times New Roman"/>
        </w:rPr>
        <w:t xml:space="preserve"> </w:t>
      </w:r>
      <w:r>
        <w:rPr>
          <w:iCs/>
          <w:i/>
          <w:rFonts w:ascii="Times New Roman" w:hAnsi="Times New Roman" w:cs="Times New Roman"/>
        </w:rPr>
        <w:t xml:space="preserve">Eccles v Bryant</w:t>
      </w:r>
      <w:r>
        <w:rPr>
          <w:rFonts w:ascii="Times New Roman" w:hAnsi="Times New Roman" w:cs="Times New Roman"/>
        </w:rPr>
        <w:t xml:space="preserve"> </w:t>
      </w:r>
      <w:r>
        <w:rPr>
          <w:rFonts w:ascii="Times New Roman" w:hAnsi="Times New Roman" w:cs="Times New Roman"/>
        </w:rPr>
        <w:t xml:space="preserve">[1948] Ch 93, 104 (Lord Greene MR).</w:t>
      </w:r>
    </w:p>
  </w:footnote>
  <w:footnote w:id="4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Port Jackson</w:t>
      </w:r>
      <w:r>
        <w:rPr>
          <w:rFonts w:ascii="Times New Roman" w:hAnsi="Times New Roman" w:cs="Times New Roman"/>
        </w:rPr>
        <w:t xml:space="preserve"> </w:t>
      </w:r>
      <w:r>
        <w:rPr>
          <w:rFonts w:ascii="Times New Roman" w:hAnsi="Times New Roman" w:cs="Times New Roman"/>
        </w:rPr>
        <w:t xml:space="preserve">(n 16) 269 (Mason and Jacobs JJ).</w:t>
      </w:r>
    </w:p>
  </w:footnote>
  <w:footnote w:id="4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TA Sundell &amp; Sons Pty Ltd v Emm Yannoulatos (Overseas) Pty Ltd</w:t>
      </w:r>
      <w:r>
        <w:rPr>
          <w:rFonts w:ascii="Times New Roman" w:hAnsi="Times New Roman" w:cs="Times New Roman"/>
        </w:rPr>
        <w:t xml:space="preserve"> </w:t>
      </w:r>
      <w:r>
        <w:rPr>
          <w:rFonts w:ascii="Times New Roman" w:hAnsi="Times New Roman" w:cs="Times New Roman"/>
        </w:rPr>
        <w:t xml:space="preserve">(1955) 56 SR (NSW) 323, 327.</w:t>
      </w:r>
    </w:p>
  </w:footnote>
  <w:footnote w:id="4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Wigan v Edwards</w:t>
      </w:r>
      <w:r>
        <w:rPr>
          <w:rFonts w:ascii="Times New Roman" w:hAnsi="Times New Roman" w:cs="Times New Roman"/>
        </w:rPr>
        <w:t xml:space="preserve"> </w:t>
      </w:r>
      <w:r>
        <w:rPr>
          <w:rFonts w:ascii="Times New Roman" w:hAnsi="Times New Roman" w:cs="Times New Roman"/>
        </w:rPr>
        <w:t xml:space="preserve">(1973) 47 ALJR 586, 594 (Mason J).</w:t>
      </w:r>
    </w:p>
  </w:footnote>
  <w:footnote w:id="4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[26] (Gaudron, McHugh, Hayne and Callinan JJ).</w:t>
      </w:r>
    </w:p>
  </w:footnote>
  <w:footnote w:id="4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Banque Brussels Lambert SA v Australian National Industries Ltd</w:t>
      </w:r>
      <w:r>
        <w:rPr>
          <w:rFonts w:ascii="Times New Roman" w:hAnsi="Times New Roman" w:cs="Times New Roman"/>
        </w:rPr>
        <w:t xml:space="preserve"> </w:t>
      </w:r>
      <w:r>
        <w:rPr>
          <w:rFonts w:ascii="Times New Roman" w:hAnsi="Times New Roman" w:cs="Times New Roman"/>
        </w:rPr>
        <w:t xml:space="preserve">(1989) 21 NSWLR 502, 523 (Rogers CJ).</w:t>
      </w:r>
    </w:p>
  </w:footnote>
  <w:footnote w:id="4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Council of the Upper Hunter County District v Australian Chilling and Freezing Co Ltd</w:t>
      </w:r>
      <w:r>
        <w:rPr>
          <w:rFonts w:ascii="Times New Roman" w:hAnsi="Times New Roman" w:cs="Times New Roman"/>
        </w:rPr>
        <w:t xml:space="preserve"> </w:t>
      </w:r>
      <w:r>
        <w:rPr>
          <w:rFonts w:ascii="Times New Roman" w:hAnsi="Times New Roman" w:cs="Times New Roman"/>
        </w:rPr>
        <w:t xml:space="preserve">(1968) 118 CLR 429, 437 (Barwick CJ) (</w:t>
      </w:r>
      <w:r>
        <w:rPr>
          <w:rFonts w:ascii="Times New Roman" w:hAnsi="Times New Roman" w:cs="Times New Roman"/>
        </w:rPr>
        <w:t xml:space="preserve">‘</w:t>
      </w:r>
      <w:r>
        <w:rPr>
          <w:iCs/>
          <w:i/>
          <w:rFonts w:ascii="Times New Roman" w:hAnsi="Times New Roman" w:cs="Times New Roman"/>
        </w:rPr>
        <w:t xml:space="preserve">Upper Hunter</w:t>
      </w:r>
      <w:r>
        <w:rPr>
          <w:rFonts w:ascii="Times New Roman" w:hAnsi="Times New Roman" w:cs="Times New Roman"/>
        </w:rPr>
        <w:t xml:space="preserve">’</w:t>
      </w:r>
      <w:r>
        <w:rPr>
          <w:rFonts w:ascii="Times New Roman" w:hAnsi="Times New Roman" w:cs="Times New Roman"/>
        </w:rPr>
        <w:t xml:space="preserve">), quoting</w:t>
      </w:r>
      <w:r>
        <w:rPr>
          <w:rFonts w:ascii="Times New Roman" w:hAnsi="Times New Roman" w:cs="Times New Roman"/>
        </w:rPr>
        <w:t xml:space="preserve"> </w:t>
      </w:r>
      <w:r>
        <w:rPr>
          <w:iCs/>
          <w:i/>
          <w:rFonts w:ascii="Times New Roman" w:hAnsi="Times New Roman" w:cs="Times New Roman"/>
        </w:rPr>
        <w:t xml:space="preserve">G Scammell &amp; Nephew Ltd v Ouston</w:t>
      </w:r>
      <w:r>
        <w:rPr>
          <w:rFonts w:ascii="Times New Roman" w:hAnsi="Times New Roman" w:cs="Times New Roman"/>
        </w:rPr>
        <w:t xml:space="preserve"> </w:t>
      </w:r>
      <w:r>
        <w:rPr>
          <w:rFonts w:ascii="Times New Roman" w:hAnsi="Times New Roman" w:cs="Times New Roman"/>
        </w:rPr>
        <w:t xml:space="preserve">[1941] AC 251, 268 (Lord Wright).</w:t>
      </w:r>
    </w:p>
  </w:footnote>
  <w:footnote w:id="4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Ermogenous</w:t>
      </w:r>
      <w:r>
        <w:rPr>
          <w:rFonts w:ascii="Times New Roman" w:hAnsi="Times New Roman" w:cs="Times New Roman"/>
        </w:rPr>
        <w:t xml:space="preserve"> </w:t>
      </w:r>
      <w:r>
        <w:rPr>
          <w:rFonts w:ascii="Times New Roman" w:hAnsi="Times New Roman" w:cs="Times New Roman"/>
        </w:rPr>
        <w:t xml:space="preserve">(n 5) [25] (Gaudron, McHugh, Hayne and Callinan JJ).</w:t>
      </w:r>
    </w:p>
  </w:footnote>
  <w:footnote w:id="4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Trident General Insurance Co Ltd v McNiece Bros Pty Ltd</w:t>
      </w:r>
      <w:r>
        <w:rPr>
          <w:rFonts w:ascii="Times New Roman" w:hAnsi="Times New Roman" w:cs="Times New Roman"/>
        </w:rPr>
        <w:t xml:space="preserve"> </w:t>
      </w:r>
      <w:r>
        <w:rPr>
          <w:rFonts w:ascii="Times New Roman" w:hAnsi="Times New Roman" w:cs="Times New Roman"/>
        </w:rPr>
        <w:t xml:space="preserve">(1988) 165 CLR 107 (Deane J).</w:t>
      </w:r>
    </w:p>
  </w:footnote>
  <w:footnote w:id="5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534 (McHugh JA).</w:t>
      </w:r>
    </w:p>
  </w:footnote>
  <w:footnote w:id="5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456–7.</w:t>
      </w:r>
    </w:p>
  </w:footnote>
  <w:footnote w:id="52">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Empirnall</w:t>
      </w:r>
      <w:r>
        <w:rPr>
          <w:rFonts w:ascii="Times New Roman" w:hAnsi="Times New Roman" w:cs="Times New Roman"/>
        </w:rPr>
        <w:t xml:space="preserve"> </w:t>
      </w:r>
      <w:r>
        <w:rPr>
          <w:rFonts w:ascii="Times New Roman" w:hAnsi="Times New Roman" w:cs="Times New Roman"/>
        </w:rPr>
        <w:t xml:space="preserve">(n 3) 535–6 (McHugh JA).</w:t>
      </w:r>
    </w:p>
  </w:footnote>
  <w:footnote w:id="53">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Coulls</w:t>
      </w:r>
      <w:r>
        <w:rPr>
          <w:rFonts w:ascii="Times New Roman" w:hAnsi="Times New Roman" w:cs="Times New Roman"/>
        </w:rPr>
        <w:t xml:space="preserve"> </w:t>
      </w:r>
      <w:r>
        <w:rPr>
          <w:rFonts w:ascii="Times New Roman" w:hAnsi="Times New Roman" w:cs="Times New Roman"/>
        </w:rPr>
        <w:t xml:space="preserve">(n 13) 495 (Windeyer J dissenting).</w:t>
      </w:r>
    </w:p>
  </w:footnote>
  <w:footnote w:id="54">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Roscorla v Thomas</w:t>
      </w:r>
      <w:r>
        <w:rPr>
          <w:rFonts w:ascii="Times New Roman" w:hAnsi="Times New Roman" w:cs="Times New Roman"/>
        </w:rPr>
        <w:t xml:space="preserve"> </w:t>
      </w:r>
      <w:r>
        <w:rPr>
          <w:rFonts w:ascii="Times New Roman" w:hAnsi="Times New Roman" w:cs="Times New Roman"/>
        </w:rPr>
        <w:t xml:space="preserve">(1842) 3 QB 234, 237; 114 ER 496 (Lord Denman CJ).</w:t>
      </w:r>
    </w:p>
  </w:footnote>
  <w:footnote w:id="55">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Pao On v Lau Yiu Long</w:t>
      </w:r>
      <w:r>
        <w:rPr>
          <w:rFonts w:ascii="Times New Roman" w:hAnsi="Times New Roman" w:cs="Times New Roman"/>
        </w:rPr>
        <w:t xml:space="preserve"> </w:t>
      </w:r>
      <w:r>
        <w:rPr>
          <w:rFonts w:ascii="Times New Roman" w:hAnsi="Times New Roman" w:cs="Times New Roman"/>
        </w:rPr>
        <w:t xml:space="preserve">[1980] AC 614, 629–30 (Lord Scarman for the Board).</w:t>
      </w:r>
    </w:p>
  </w:footnote>
  <w:footnote w:id="56">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Australian Woollen Mills</w:t>
      </w:r>
      <w:r>
        <w:rPr>
          <w:rFonts w:ascii="Times New Roman" w:hAnsi="Times New Roman" w:cs="Times New Roman"/>
        </w:rPr>
        <w:t xml:space="preserve"> </w:t>
      </w:r>
      <w:r>
        <w:rPr>
          <w:rFonts w:ascii="Times New Roman" w:hAnsi="Times New Roman" w:cs="Times New Roman"/>
        </w:rPr>
        <w:t xml:space="preserve">(n 4) 456.</w:t>
      </w:r>
    </w:p>
  </w:footnote>
  <w:footnote w:id="57">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Brambles</w:t>
      </w:r>
      <w:r>
        <w:rPr>
          <w:rFonts w:ascii="Times New Roman" w:hAnsi="Times New Roman" w:cs="Times New Roman"/>
        </w:rPr>
        <w:t xml:space="preserve"> </w:t>
      </w:r>
      <w:r>
        <w:rPr>
          <w:rFonts w:ascii="Times New Roman" w:hAnsi="Times New Roman" w:cs="Times New Roman"/>
        </w:rPr>
        <w:t xml:space="preserve">(n 19) 164 (Heydon JA).</w:t>
      </w:r>
    </w:p>
  </w:footnote>
  <w:footnote w:id="58">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rFonts w:ascii="Times New Roman" w:hAnsi="Times New Roman" w:cs="Times New Roman"/>
        </w:rPr>
        <w:t xml:space="preserve">Ibid 191 (Ipp AJA).</w:t>
      </w:r>
    </w:p>
  </w:footnote>
  <w:footnote w:id="59">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 w:id="60">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Upper Hunter</w:t>
      </w:r>
      <w:r>
        <w:rPr>
          <w:rFonts w:ascii="Times New Roman" w:hAnsi="Times New Roman" w:cs="Times New Roman"/>
        </w:rPr>
        <w:t xml:space="preserve"> </w:t>
      </w:r>
      <w:r>
        <w:rPr>
          <w:rFonts w:ascii="Times New Roman" w:hAnsi="Times New Roman" w:cs="Times New Roman"/>
        </w:rPr>
        <w:t xml:space="preserve">(n 27) 437 (Barwick CJ).</w:t>
      </w:r>
    </w:p>
  </w:footnote>
  <w:footnote w:id="61">
    <w:p>
      <w:pPr>
        <w:pStyle w:val="FootnoteText"/>
      </w:pPr>
      <w:r>
        <w:rPr>
          <w:rStyle w:val="FootnoteReference"/>
          <w:rFonts w:ascii="Times New Roman" w:hAnsi="Times New Roman" w:cs="Times New Roman"/>
        </w:rPr>
        <w:footnoteRef/>
      </w:r>
      <w:r>
        <w:rPr>
          <w:rFonts w:ascii="Times New Roman" w:hAnsi="Times New Roman" w:cs="Times New Roman"/>
        </w:rPr>
        <w:t xml:space="preserve"> </w:t>
      </w:r>
      <w:r>
        <w:rPr>
          <w:iCs/>
          <w:i/>
          <w:rFonts w:ascii="Times New Roman" w:hAnsi="Times New Roman" w:cs="Times New Roman"/>
        </w:rPr>
        <w:t xml:space="preserve">Meehan</w:t>
      </w:r>
      <w:r>
        <w:rPr>
          <w:rFonts w:ascii="Times New Roman" w:hAnsi="Times New Roman" w:cs="Times New Roman"/>
        </w:rPr>
        <w:t xml:space="preserve"> </w:t>
      </w:r>
      <w:r>
        <w:rPr>
          <w:rFonts w:ascii="Times New Roman" w:hAnsi="Times New Roman" w:cs="Times New Roman"/>
        </w:rPr>
        <w:t xml:space="preserve">(n 8) 582 (Gibbs CJ).</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cstheme="minorBidi"/>
        <w:sz w:val="24"/>
        <w:szCs w:val="24"/>
        <w:lang w:bidi="ar-SA" w:eastAsia="Times New Roman" w:val="en-AU"/>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480" w:lineRule="auto" w:before="0" w:after="0"/>
    </w:pPr>
    <w:rPr>
      <w:rFonts w:ascii="Times New Roman" w:hAnsi="Times New Roman" w:cs="Times New Roman" w:eastAsia="Times New Roman"/>
      <w:color w:val="000000"/>
      <w:sz w:val="24"/>
    </w:rPr>
  </w:style>
  <w:style w:styleId="BodyText" w:type="paragraph">
    <w:name w:val="Body Text"/>
    <w:basedOn w:val="Normal"/>
    <w:link w:val="BodyTextChar"/>
    <w:pPr>
      <w:spacing w:after="0" w:before="0" w:line="480" w:lineRule="auto"/>
      <w:ind w:firstLine="72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pPr>
      <w:spacing w:line="480" w:lineRule="auto" w:before="0" w:after="0"/>
      <w:ind w:firstLine="0"/>
    </w:pPr>
    <w:rPr>
      <w:rFonts w:ascii="Times New Roman" w:hAnsi="Times New Roman" w:cs="Times New Roman" w:eastAsia="Times New Roman"/>
      <w:color w:val="000000"/>
      <w:sz w:val="24"/>
    </w:rPr>
  </w:style>
  <w:style w:customStyle="1" w:styleId="Compact" w:type="paragraph">
    <w:name w:val="Compact"/>
    <w:basedOn w:val="BodyText"/>
    <w:qFormat/>
    <w:pPr>
      <w:spacing w:after="0" w:before="0" w:line="480" w:lineRule="auto"/>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0" w:before="0" w:line="480" w:lineRule="auto"/>
      <w:jc w:val="center"/>
    </w:pPr>
    <w:rPr>
      <w:rFonts w:ascii="Times New Roman" w:hAnsi="Times New Roman" w:cs="Times New Roman" w:eastAsia="Times New Roman"/>
      <w:b/>
      <w:bCs/>
      <w:i w:val="0"/>
      <w:color w:val="000000"/>
      <w:sz w:val="24"/>
      <w:szCs w:val="36"/>
    </w:rPr>
  </w:style>
  <w:style w:styleId="Subtitle" w:type="paragraph">
    <w:name w:val="Subtitle"/>
    <w:basedOn w:val="Title"/>
    <w:next w:val="BodyText"/>
    <w:qFormat/>
    <w:pPr>
      <w:keepNext/>
      <w:keepLines/>
      <w:spacing w:after="0" w:before="0" w:line="480" w:lineRule="auto"/>
      <w:jc w:val="center"/>
    </w:pPr>
    <w:rPr>
      <w:rFonts w:ascii="Times New Roman" w:hAnsi="Times New Roman" w:cs="Times New Roman" w:eastAsia="Times New Roman"/>
      <w:color w:val="000000"/>
      <w:sz w:val="24"/>
      <w:szCs w:val="30"/>
    </w:rPr>
  </w:style>
  <w:style w:customStyle="1" w:styleId="Author" w:type="paragraph">
    <w:name w:val="Author"/>
    <w:next w:val="BodyText"/>
    <w:qFormat/>
    <w:pPr>
      <w:keepNext/>
      <w:keepLines/>
      <w:spacing w:line="480" w:lineRule="auto" w:before="0" w:after="0"/>
      <w:jc w:val="center"/>
    </w:pPr>
    <w:rPr>
      <w:rFonts w:ascii="Times New Roman" w:hAnsi="Times New Roman" w:cs="Times New Roman" w:eastAsia="Times New Roman"/>
      <w:color w:val="000000"/>
      <w:sz w:val="24"/>
    </w:rPr>
  </w:style>
  <w:style w:styleId="Date" w:type="paragraph">
    <w:name w:val="Date"/>
    <w:next w:val="BodyText"/>
    <w:qFormat/>
    <w:pPr>
      <w:keepNext/>
      <w:keepLines/>
      <w:spacing w:line="480" w:lineRule="auto" w:before="0" w:after="0"/>
      <w:jc w:val="center"/>
    </w:pPr>
    <w:rPr>
      <w:rFonts w:ascii="Times New Roman" w:hAnsi="Times New Roman" w:cs="Times New Roman" w:eastAsia="Times New Roman"/>
      <w:color w:val="000000"/>
      <w:sz w:val="24"/>
    </w:rPr>
  </w:style>
  <w:style w:customStyle="1" w:styleId="AbstractTitle" w:type="paragraph">
    <w:name w:val="Abstract Title"/>
    <w:basedOn w:val="Normal"/>
    <w:next w:val="Abstract"/>
    <w:qFormat/>
    <w:pPr>
      <w:keepNext/>
      <w:keepLines/>
      <w:jc w:val="center"/>
      <w:spacing w:after="0" w:before="0" w:line="480" w:lineRule="auto"/>
    </w:pPr>
    <w:rPr>
      <w:color w:val="000000"/>
      <w:sz w:val="24"/>
      <w:szCs w:val="20"/>
      <w:rFonts w:ascii="Times New Roman" w:hAnsi="Times New Roman" w:cs="Times New Roman" w:eastAsia="Times New Roman"/>
      <w:b/>
    </w:rPr>
  </w:style>
  <w:style w:customStyle="1" w:styleId="Abstract" w:type="paragraph">
    <w:name w:val="Abstract"/>
    <w:basedOn w:val="Normal"/>
    <w:next w:val="BodyText"/>
    <w:qFormat/>
    <w:pPr>
      <w:keepNext/>
      <w:keepLines/>
      <w:spacing w:after="0" w:before="0" w:line="480" w:lineRule="auto"/>
    </w:pPr>
    <w:rPr>
      <w:rFonts w:ascii="Times New Roman" w:hAnsi="Times New Roman" w:cs="Times New Roman" w:eastAsia="Times New Roman"/>
      <w:color w:val="000000"/>
      <w:sz w:val="24"/>
      <w:szCs w:val="20"/>
    </w:rPr>
  </w:style>
  <w:style w:styleId="Bibliography" w:type="paragraph">
    <w:name w:val="Bibliography"/>
    <w:basedOn w:val="Normal"/>
    <w:next w:val="Bibliography"/>
    <w:qFormat/>
    <w:pPr>
      <w:spacing w:line="480" w:lineRule="auto" w:before="0" w:after="0"/>
    </w:pPr>
    <w:rPr>
      <w:rFonts w:ascii="Times New Roman" w:hAnsi="Times New Roman" w:cs="Times New Roman" w:eastAsia="Times New Roman"/>
      <w:color w:val="000000"/>
      <w:sz w:val="24"/>
    </w:rPr>
  </w:style>
  <w:style w:styleId="Heading1" w:type="paragraph">
    <w:name w:val="Heading 1"/>
    <w:basedOn w:val="Normal"/>
    <w:next w:val="BodyText"/>
    <w:uiPriority w:val="9"/>
    <w:qFormat/>
    <w:pPr>
      <w:keepNext/>
      <w:keepLines/>
      <w:spacing w:after="0" w:before="0" w:line="480" w:lineRule="auto"/>
      <w:outlineLvl w:val="0"/>
    </w:pPr>
    <w:rPr>
      <w:rFonts w:ascii="Times New Roman" w:hAnsi="Times New Roman" w:cs="Times New Roman" w:eastAsia="Times New Roman"/>
      <w:b/>
      <w:bCs/>
      <w:i w:val="0"/>
      <w:color w:val="000000"/>
      <w:sz w:val="24"/>
      <w:szCs w:val="32"/>
    </w:rPr>
  </w:style>
  <w:style w:styleId="Heading2" w:type="paragraph">
    <w:name w:val="Heading 2"/>
    <w:basedOn w:val="Normal"/>
    <w:next w:val="BodyText"/>
    <w:uiPriority w:val="9"/>
    <w:unhideWhenUsed/>
    <w:qFormat/>
    <w:pPr>
      <w:keepNext/>
      <w:keepLines/>
      <w:spacing w:after="0" w:before="0" w:line="480" w:lineRule="auto"/>
      <w:outlineLvl w:val="1"/>
    </w:pPr>
    <w:rPr>
      <w:rFonts w:ascii="Times New Roman" w:hAnsi="Times New Roman" w:cs="Times New Roman" w:eastAsia="Times New Roman"/>
      <w:b/>
      <w:bCs/>
      <w:i w:val="0"/>
      <w:color w:val="000000"/>
      <w:sz w:val="24"/>
      <w:szCs w:val="28"/>
    </w:rPr>
  </w:style>
  <w:style w:styleId="Heading3" w:type="paragraph">
    <w:name w:val="Heading 3"/>
    <w:basedOn w:val="Normal"/>
    <w:next w:val="BodyText"/>
    <w:uiPriority w:val="9"/>
    <w:unhideWhenUsed/>
    <w:qFormat/>
    <w:pPr>
      <w:keepNext/>
      <w:keepLines/>
      <w:spacing w:after="0" w:before="0" w:line="480" w:lineRule="auto"/>
      <w:outlineLvl w:val="2"/>
    </w:pPr>
    <w:rPr>
      <w:rFonts w:ascii="Times New Roman" w:hAnsi="Times New Roman" w:cs="Times New Roman" w:eastAsia="Times New Roman"/>
      <w:b/>
      <w:bCs/>
      <w:i w:val="0"/>
      <w:color w:val="000000"/>
      <w:sz w:val="24"/>
      <w:szCs w:val="24"/>
    </w:rPr>
  </w:style>
  <w:style w:styleId="Heading4" w:type="paragraph">
    <w:name w:val="Heading 4"/>
    <w:basedOn w:val="Normal"/>
    <w:next w:val="BodyText"/>
    <w:uiPriority w:val="9"/>
    <w:unhideWhenUsed/>
    <w:qFormat/>
    <w:pPr>
      <w:keepNext/>
      <w:keepLines/>
      <w:spacing w:after="0" w:before="0" w:line="480" w:lineRule="auto"/>
      <w:outlineLvl w:val="3"/>
    </w:pPr>
    <w:rPr>
      <w:rFonts w:ascii="Times New Roman" w:hAnsi="Times New Roman" w:cs="Times New Roman" w:eastAsia="Times New Roman"/>
      <w:i w:val="0"/>
      <w:b/>
      <w:bCs/>
      <w:color w:val="000000"/>
      <w:sz w:val="24"/>
      <w:szCs w:val="24"/>
    </w:rPr>
  </w:style>
  <w:style w:styleId="Heading5" w:type="paragraph">
    <w:name w:val="Heading 5"/>
    <w:basedOn w:val="Normal"/>
    <w:next w:val="BodyText"/>
    <w:uiPriority w:val="9"/>
    <w:unhideWhenUsed/>
    <w:qFormat/>
    <w:pPr>
      <w:keepNext/>
      <w:keepLines/>
      <w:spacing w:after="0" w:before="0" w:line="480" w:lineRule="auto"/>
      <w:outlineLvl w:val="4"/>
    </w:pPr>
    <w:rPr>
      <w:rFonts w:ascii="Times New Roman" w:hAnsi="Times New Roman" w:cs="Times New Roman" w:eastAsia="Times New Roman"/>
      <w:b/>
      <w:i w:val="0"/>
      <w:iCs/>
      <w:color w:val="000000"/>
      <w:sz w:val="24"/>
      <w:szCs w:val="24"/>
    </w:rPr>
  </w:style>
  <w:style w:styleId="Heading6" w:type="paragraph">
    <w:name w:val="Heading 6"/>
    <w:basedOn w:val="Normal"/>
    <w:next w:val="BodyText"/>
    <w:uiPriority w:val="9"/>
    <w:unhideWhenUsed/>
    <w:qFormat/>
    <w:pPr>
      <w:keepNext/>
      <w:keepLines/>
      <w:spacing w:after="0" w:before="0" w:line="480" w:lineRule="auto"/>
      <w:outlineLvl w:val="5"/>
    </w:pPr>
    <w:rPr>
      <w:rFonts w:ascii="Times New Roman" w:hAnsi="Times New Roman" w:cs="Times New Roman" w:eastAsia="Times New Roman"/>
      <w:b/>
      <w:i w:val="0"/>
      <w:color w:val="000000"/>
      <w:sz w:val="24"/>
      <w:szCs w:val="24"/>
    </w:rPr>
  </w:style>
  <w:style w:styleId="Heading7" w:type="paragraph">
    <w:name w:val="Heading 7"/>
    <w:basedOn w:val="Normal"/>
    <w:next w:val="BodyText"/>
    <w:uiPriority w:val="9"/>
    <w:unhideWhenUsed/>
    <w:qFormat/>
    <w:pPr>
      <w:keepNext/>
      <w:keepLines/>
      <w:spacing w:after="0" w:before="0" w:line="480" w:lineRule="auto"/>
      <w:outlineLvl w:val="6"/>
    </w:pPr>
    <w:rPr>
      <w:rFonts w:ascii="Times New Roman" w:hAnsi="Times New Roman" w:cs="Times New Roman" w:eastAsia="Times New Roman"/>
      <w:b/>
      <w:i w:val="0"/>
      <w:color w:val="000000"/>
      <w:sz w:val="24"/>
      <w:szCs w:val="24"/>
    </w:rPr>
  </w:style>
  <w:style w:styleId="Heading8" w:type="paragraph">
    <w:name w:val="Heading 8"/>
    <w:basedOn w:val="Normal"/>
    <w:next w:val="BodyText"/>
    <w:uiPriority w:val="9"/>
    <w:unhideWhenUsed/>
    <w:qFormat/>
    <w:pPr>
      <w:keepNext/>
      <w:keepLines/>
      <w:spacing w:after="0" w:before="0" w:line="480" w:lineRule="auto"/>
      <w:outlineLvl w:val="7"/>
    </w:pPr>
    <w:rPr>
      <w:rFonts w:ascii="Times New Roman" w:hAnsi="Times New Roman" w:cs="Times New Roman" w:eastAsia="Times New Roman"/>
      <w:b/>
      <w:i w:val="0"/>
      <w:color w:val="000000"/>
      <w:sz w:val="24"/>
      <w:szCs w:val="24"/>
    </w:rPr>
  </w:style>
  <w:style w:styleId="Heading9" w:type="paragraph">
    <w:name w:val="Heading 9"/>
    <w:basedOn w:val="Normal"/>
    <w:next w:val="BodyText"/>
    <w:uiPriority w:val="9"/>
    <w:unhideWhenUsed/>
    <w:qFormat/>
    <w:pPr>
      <w:keepNext/>
      <w:keepLines/>
      <w:spacing w:after="0" w:before="0" w:line="480" w:lineRule="auto"/>
      <w:outlineLvl w:val="8"/>
    </w:pPr>
    <w:rPr>
      <w:rFonts w:ascii="Times New Roman" w:hAnsi="Times New Roman" w:cs="Times New Roman" w:eastAsia="Times New Roman"/>
      <w:b/>
      <w:i w:val="0"/>
      <w:color w:val="000000"/>
      <w:sz w:val="24"/>
      <w:szCs w:val="24"/>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pPr>
      <w:spacing w:line="240" w:lineRule="auto" w:after="0"/>
    </w:pPr>
    <w:rPr>
      <w:rFonts w:ascii="Times New Roman" w:hAnsi="Times New Roman" w:cs="Times New Roman" w:eastAsia="Times New Roman"/>
      <w:color w:val="000000"/>
      <w:sz w:val="20"/>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480" w:lineRule="auto" w:before="0"/>
    </w:pPr>
    <w:rPr>
      <w:rFonts w:ascii="Times New Roman" w:hAnsi="Times New Roman" w:cs="Times New Roman" w:eastAsia="Times New Roman"/>
      <w:b/>
      <w:color w:val="000000"/>
      <w:sz w:val="24"/>
    </w:rPr>
  </w:style>
  <w:style w:customStyle="1" w:styleId="Definition" w:type="paragraph">
    <w:name w:val="Definition"/>
    <w:basedOn w:val="Normal"/>
    <w:pPr>
      <w:spacing w:line="480" w:lineRule="auto" w:before="0" w:after="0"/>
    </w:pPr>
    <w:rPr>
      <w:rFonts w:ascii="Times New Roman" w:hAnsi="Times New Roman" w:cs="Times New Roman" w:eastAsia="Times New Roman"/>
      <w:color w:val="000000"/>
      <w:sz w:val="24"/>
    </w:rPr>
  </w:style>
  <w:style w:styleId="Caption" w:type="paragraph">
    <w:name w:val="Caption"/>
    <w:basedOn w:val="Normal"/>
    <w:link w:val="BodyTextChar"/>
    <w:pPr>
      <w:spacing w:after="0" w:before="0" w:line="480" w:lineRule="auto"/>
    </w:pPr>
    <w:rPr>
      <w:rFonts w:ascii="Times New Roman" w:hAnsi="Times New Roman" w:cs="Times New Roman" w:eastAsia="Times New Roman"/>
      <w:i/>
      <w:color w:val="000000"/>
      <w:sz w:val="24"/>
    </w:rPr>
  </w:style>
  <w:style w:customStyle="1" w:styleId="TableCaption" w:type="paragraph">
    <w:name w:val="Table Caption"/>
    <w:basedOn w:val="Caption"/>
    <w:pPr>
      <w:keepNext/>
      <w:spacing w:line="480" w:lineRule="auto" w:before="0" w:after="0"/>
    </w:pPr>
    <w:rPr>
      <w:rFonts w:ascii="Times New Roman" w:hAnsi="Times New Roman" w:cs="Times New Roman" w:eastAsia="Times New Roman"/>
      <w:color w:val="000000"/>
      <w:sz w:val="24"/>
    </w:rPr>
  </w:style>
  <w:style w:customStyle="1" w:styleId="ImageCaption" w:type="paragraph">
    <w:name w:val="Image Caption"/>
    <w:basedOn w:val="Caption"/>
    <w:pPr>
      <w:spacing w:line="480" w:lineRule="auto" w:before="0" w:after="0"/>
    </w:pPr>
    <w:rPr>
      <w:rFonts w:ascii="Times New Roman" w:hAnsi="Times New Roman" w:cs="Times New Roman" w:eastAsia="Times New Roman"/>
      <w:color w:val="000000"/>
      <w:sz w:val="24"/>
    </w:rPr>
  </w:style>
  <w:style w:customStyle="1" w:styleId="Figure" w:type="paragraph">
    <w:name w:val="Figure"/>
    <w:basedOn w:val="Normal"/>
    <w:pPr>
      <w:spacing w:line="480" w:lineRule="auto" w:before="0" w:after="0"/>
    </w:pPr>
    <w:rPr>
      <w:rFonts w:ascii="Times New Roman" w:hAnsi="Times New Roman" w:cs="Times New Roman" w:eastAsia="Times New Roman"/>
      <w:color w:val="000000"/>
      <w:sz w:val="24"/>
    </w:rPr>
  </w:style>
  <w:style w:customStyle="1" w:styleId="CaptionedFigure" w:type="paragraph">
    <w:name w:val="Captioned Figure"/>
    <w:basedOn w:val="Figure"/>
    <w:pPr>
      <w:keepNext/>
      <w:spacing w:line="480" w:lineRule="auto" w:before="0" w:after="0"/>
    </w:pPr>
    <w:rPr>
      <w:rFonts w:ascii="Times New Roman" w:hAnsi="Times New Roman" w:cs="Times New Roman" w:eastAsia="Times New Roman"/>
      <w:color w:val="000000"/>
      <w:sz w:val="24"/>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rFonts w:ascii="Times New Roman" w:hAnsi="Times New Roman" w:cs="Times New Roman" w:eastAsia="Times New Roman"/>
      <w:color w:val="000000"/>
      <w:sz w:val="20"/>
      <w:vertAlign w:val="superscript"/>
    </w:rPr>
  </w:style>
  <w:style w:styleId="Hyperlink" w:type="character">
    <w:name w:val="Hyperlink"/>
    <w:basedOn w:val="BodyTextChar"/>
    <w:rPr>
      <w:rFonts w:ascii="Times New Roman" w:hAnsi="Times New Roman" w:cs="Times New Roman" w:eastAsia="Times New Roman"/>
      <w:color w:val="000000"/>
      <w:sz w:val="24"/>
    </w:rPr>
  </w:style>
  <w:style w:styleId="TOCHeading" w:type="paragraph">
    <w:name w:val="TOC Heading"/>
    <w:basedOn w:val="Heading1"/>
    <w:next w:val="BodyText"/>
    <w:uiPriority w:val="39"/>
    <w:unhideWhenUsed/>
    <w:qFormat/>
    <w:pPr>
      <w:spacing w:before="0" w:line="480" w:lineRule="auto" w:after="0"/>
      <w:outlineLvl w:val="9"/>
    </w:pPr>
    <w:rPr>
      <w:rFonts w:ascii="Times New Roman" w:hAnsi="Times New Roman" w:cs="Times New Roman" w:eastAsia="Times New Roman"/>
      <w:b w:val="0"/>
      <w:bCs w:val="0"/>
      <w:color w:val="000000"/>
      <w:sz w:val="24"/>
    </w:rPr>
  </w:style>
  <w:style w:type="paragraph" w:customStyle="1" w:styleId="SourceCode">
    <w:name w:val="Source Code"/>
    <w:basedOn w:val="Normal"/>
    <w:link w:val="VerbatimChar"/>
    <w:pPr>
      <w:wordWrap w:val="off"/>
      <w:spacing w:line="480" w:lineRule="auto" w:before="0" w:after="0"/>
    </w:pPr>
    <w:rPr>
      <w:rFonts w:ascii="Times New Roman" w:hAnsi="Times New Roman" w:cs="Times New Roman" w:eastAsia="Times New Roman"/>
      <w:color w:val="000000"/>
      <w:sz w:val="24"/>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2026-10-12T09:57:40Z</dcterms:created>
  <dcterms:modified xsi:type="dcterms:W3CDTF">2026-10-12T09:57:40Z</dcterms:modified>
</cp:coreProperties>
</file>

<file path=docProps/custom.xml><?xml version="1.0" encoding="utf-8"?>
<Properties xmlns="http://schemas.openxmlformats.org/officeDocument/2006/custom-properties" xmlns:vt="http://schemas.openxmlformats.org/officeDocument/2006/docPropsVTypes"/>
</file>