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primary issue between Rocky and Grace is whether their February dealings formed a binding loan, since, if they did, Grace could claim that Rocky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By asking Rocky on 5 February to offer a two-year loan, Grace invited an offer rather than making one,</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and Rocky declined, so no contract formed. Rocky could argue his 12 February email was merely a negotiating step, as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other points promise nothing.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acceptance;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these words are promissory,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the first point is likely an offer, though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Acceptance requires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Rocky could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only confirmed the email’s accuracy, but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added no new terms, so it likely accepted the first point, qualifier included. Consideration would also exist, Rocky’s promise to lend being exchanged for Grace’s implied promise to repay with interest.</w:t>
      </w:r>
      <w:r>
        <w:rPr>
          <w:rStyle w:val="FootnoteReference"/>
          <w:rFonts w:ascii="Times New Roman" w:hAnsi="Times New Roman"/>
          <w:sz w:val="24"/>
        </w:rPr>
        <w:footnoteReference w:id="23"/>
      </w:r>
    </w:p>
    <w:p>
      <w:pPr>
        <w:pStyle w:val="BodyText"/>
      </w:pPr>
      <w:r>
        <w:rPr>
          <w:rFonts w:ascii="Times New Roman" w:hAnsi="Times New Roman"/>
          <w:sz w:val="24"/>
        </w:rPr>
        <w:t xml:space="preserve">The qualifier, however, raises whether the parties intended immediate obligations, which is assessed objectively, with the onus on Grace as the party alleging the contract, although their commercial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supports it.</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The question is whether the terms were settled and merely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or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 may rely on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bound because those terms had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Rocky’s qualifier contains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here 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external event, are most naturally further terms of the loan itself.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binds,</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so on balance the loan was likely left to a new agreement, negating intention to be bound immediately.</w:t>
      </w:r>
    </w:p>
    <w:p>
      <w:pPr>
        <w:pStyle w:val="BodyText"/>
      </w:pPr>
      <w:r>
        <w:rPr>
          <w:rFonts w:ascii="Times New Roman" w:hAnsi="Times New Roman"/>
          <w:sz w:val="24"/>
        </w:rPr>
        <w:t xml:space="preserve">On certainty, Grace may argue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must decide honestly,</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which takes a promise outside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promise makes no contract.</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However, honesty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governed a judgment on an external condition, the availability of finance, whereas Rocky’s discretion arguably concerns the content of his loan rather than relating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and honesty cannot supply terms never agreed. Rocky’s promise is therefore arguably illusory, and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 the email likely bound neither party.</w:t>
      </w:r>
    </w:p>
    <w:p>
      <w:pPr>
        <w:pStyle w:val="BodyText"/>
      </w:pPr>
      <w:r>
        <w:rPr>
          <w:rFonts w:ascii="Times New Roman" w:hAnsi="Times New Roman"/>
          <w:sz w:val="24"/>
        </w:rPr>
        <w:t xml:space="preserve">Rocky’s 5 March demand for repayment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faces privity, under which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those who are parties to a contract can sue upon it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is determined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and the Loan Agreement was made between AMPL and Grace, whose promises to repay were made to AMPL; none was made to Rocky, even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Nor was AMPL his agent: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it to lend, it lent in its own name and took his guarantee, so it contracted for itself,</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and its $1,150,000 advance neither performed his email nor made him a party.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therefore right, but signature is not the test, as Mrs Coulls signed yet was not a party.</w:t>
      </w:r>
      <w:r>
        <w:rPr>
          <w:rStyle w:val="FootnoteReference"/>
          <w:rFonts w:ascii="Times New Roman" w:hAnsi="Times New Roman"/>
          <w:sz w:val="24"/>
        </w:rPr>
        <w:footnoteReference w:id="36"/>
      </w:r>
    </w:p>
    <w:p>
      <w:pPr>
        <w:pStyle w:val="BodyText"/>
      </w:pPr>
      <w:r>
        <w:rPr>
          <w:rFonts w:ascii="Times New Roman" w:hAnsi="Times New Roman"/>
          <w:sz w:val="24"/>
        </w:rPr>
        <w:t xml:space="preserve">Thus, beyond the Development Agreement, which pays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is not shown breached, Rocky has no contractual claim against Grace, whenever the 12 months began, and Grace likely has none against him for failing to lend; nor did Grace promise to reimburse Rocky for anything he pays AMPL.</w:t>
      </w:r>
    </w:p>
    <w:bookmarkEnd w:id="37"/>
    <w:bookmarkStart w:id="62"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On whether a contract for the $10,000 formed at the 8 April meeting, Pierre’s statement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Rocky to ensure Grace’s payments promised nothing, so it was likely an invitation to treat.</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Rocky’s reply,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offered a promise for a promise,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AMPL may argue that nothing bound until the Loan Agreement was signed, but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and little suggests Rocky’s undertaking was to await any signature, so a contract likely formed orally.</w:t>
      </w:r>
    </w:p>
    <w:p>
      <w:pPr>
        <w:pStyle w:val="BodyText"/>
      </w:pPr>
      <w:r>
        <w:rPr>
          <w:rFonts w:ascii="Times New Roman" w:hAnsi="Times New Roman"/>
          <w:sz w:val="24"/>
        </w:rPr>
        <w:t xml:space="preserve">The same agency conditions guide whether Pierre, with AMPL’s authority, contracted on its behalf rather than solely for himself.</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but Pierre controls AMPL and spoke at its office about its loan, so AMPL likely made the promise; if Pierre instead contracted for himself, Rocky’s undertaking ran to Pierre, and AMPL can rely only on the guarantee clause.</w:t>
      </w:r>
    </w:p>
    <w:p>
      <w:pPr>
        <w:pStyle w:val="BodyText"/>
      </w:pPr>
      <w:r>
        <w:rPr>
          <w:rFonts w:ascii="Times New Roman" w:hAnsi="Times New Roman"/>
          <w:sz w:val="24"/>
        </w:rPr>
        <w:t xml:space="preserve">On consideration, AMPL may invoke the existing legal duty rule, arguing that Rocky had already guaranteed the Loan, so his promise to ensure Grace’s payments gave it nothing new.</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However, the rule presupposes a duty, as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and none existed: on 27 February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to advance the money,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 Grace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beyond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provided consideration.</w:t>
      </w:r>
    </w:p>
    <w:p>
      <w:pPr>
        <w:pStyle w:val="BodyText"/>
      </w:pPr>
      <w:r>
        <w:rPr>
          <w:rFonts w:ascii="Times New Roman" w:hAnsi="Times New Roman"/>
          <w:sz w:val="24"/>
        </w:rPr>
        <w:t xml:space="preserve">Intention is in issue because Pierre is Rocky’s cousin, but presumptions about family arrangements at most identify who bears the onus,</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here Rocky. A promise to pay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so intention is likely present whoever promised.</w:t>
      </w:r>
    </w:p>
    <w:p>
      <w:pPr>
        <w:pStyle w:val="BodyText"/>
      </w:pPr>
      <w:r>
        <w:rPr>
          <w:rFonts w:ascii="Times New Roman" w:hAnsi="Times New Roman"/>
          <w:sz w:val="24"/>
        </w:rPr>
        <w:t xml:space="preserve">Rocky’s undertaking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be uncertain, because the Loan Agreement fixes the payments.</w:t>
      </w:r>
      <w:r>
        <w:rPr>
          <w:rStyle w:val="FootnoteReference"/>
          <w:rFonts w:ascii="Times New Roman" w:hAnsi="Times New Roman"/>
          <w:sz w:val="24"/>
        </w:rPr>
        <w:footnoteReference w:id="47"/>
      </w:r>
      <w:r>
        <w:rPr>
          <w:rFonts w:ascii="Times New Roman" w:hAnsi="Times New Roman"/>
          <w:sz w:val="24"/>
        </w:rPr>
        <w:t xml:space="preserve"> </w:t>
      </w:r>
      <w:r>
        <w:rPr>
          <w:rFonts w:ascii="Times New Roman" w:hAnsi="Times New Roman"/>
          <w:sz w:val="24"/>
        </w:rPr>
        <w:t xml:space="preserve">Read objectively, his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Pierre’s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likely promised that Grace would pay, not merely that Rocky would try.</w:t>
      </w:r>
      <w:r>
        <w:rPr>
          <w:rStyle w:val="FootnoteReference"/>
          <w:rFonts w:ascii="Times New Roman" w:hAnsi="Times New Roman"/>
          <w:sz w:val="24"/>
        </w:rPr>
        <w:footnoteReference w:id="48"/>
      </w:r>
    </w:p>
    <w:p>
      <w:pPr>
        <w:pStyle w:val="BodyText"/>
      </w:pPr>
      <w:r>
        <w:rPr>
          <w:rFonts w:ascii="Times New Roman" w:hAnsi="Times New Roman"/>
          <w:sz w:val="24"/>
        </w:rPr>
        <w:t xml:space="preserve">A separate issue is whether the guarantee clause binds Rocky. AMPL’s call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 the personal guarantee 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assumes, but does not prove, his assent, and because privity prevents AMPL and Grace’s contract imposing obligations on Rocky,</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AMPL must show that assent. Silence while a clause is included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but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given for the $10,000 promise, likely binds him at least to his oral undertaking.</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object, he arguably knew the clause’s terms and assented to them by taking the $10,000 promise,</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although Rocky could answer that the $10,000 priced his own words, not the clause.</w:t>
      </w:r>
    </w:p>
    <w:p>
      <w:pPr>
        <w:pStyle w:val="BodyText"/>
      </w:pPr>
      <w:r>
        <w:rPr>
          <w:rFonts w:ascii="Times New Roman" w:hAnsi="Times New Roman"/>
          <w:sz w:val="24"/>
        </w:rPr>
        <w:t xml:space="preserve">Consideration for the guarantee must move from AMPL,</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and if AMPL promised the $10,000, that promise supplies it. If Pierre promised personally, AMPL’s earlier advance is past consideration,</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which,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it, counts only if both understood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and that is doubtful;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so the guarantee is likely supported if Rocky assented.</w:t>
      </w:r>
    </w:p>
    <w:p>
      <w:pPr>
        <w:pStyle w:val="BodyText"/>
      </w:pPr>
      <w:r>
        <w:rPr>
          <w:rFonts w:ascii="Times New Roman" w:hAnsi="Times New Roman"/>
          <w:sz w:val="24"/>
        </w:rPr>
        <w:t xml:space="preserve">Whether AMPL’s call was premature depends on when the 12 months began. Post-contractual conduct cannot interpret the term,</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but because the term apparently specifies no start and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AMPL may argue the term ran from its 27 February advance, since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made.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equally to the 4% rate, which nothing shows was agreed before 8 April, and the genesis shows only when the money moved, not that a term first agreed on 8 April began earlier. The term therefore arguably ran from 8 April 2024, making the 9 March 2025 call premature unless the Loan Agreement dates it from the advance.</w:t>
      </w:r>
    </w:p>
    <w:p>
      <w:pPr>
        <w:pStyle w:val="BodyText"/>
      </w:pPr>
      <w:r>
        <w:rPr>
          <w:rFonts w:ascii="Times New Roman" w:hAnsi="Times New Roman"/>
          <w:sz w:val="24"/>
        </w:rPr>
        <w:t xml:space="preserve">The $10,000 is payable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the obligation rather than to the contract, which bound immediately,</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so 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could argue that, read commercially, his own repayment satisfies the condition;</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however, the words refer to Grace, and the $10,000 priced his promise that Grace would pay, not his paying instead, so his payment likely leaves the condition unfulfilled.</w:t>
      </w:r>
    </w:p>
    <w:p>
      <w:pPr>
        <w:pStyle w:val="BodyText"/>
      </w:pPr>
      <w:r>
        <w:rPr>
          <w:rFonts w:ascii="Times New Roman" w:hAnsi="Times New Roman"/>
          <w:sz w:val="24"/>
        </w:rPr>
        <w:t xml:space="preserve">Accordingly, 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$1,150,000 once the Loan is due and unpaid: immediately if the term ran from 27 February, or from 8 April 2025 if Grace has still not repaid. If bound only by his oral undertaking, he likely breaches it, and faces damages, if Grace fails to pay any amount when due. His $10,000 claim, against AMPL or alternatively Pierre, likely stands but is conditional:</w:t>
      </w:r>
      <w:r>
        <w:rPr>
          <w:rStyle w:val="FootnoteReference"/>
          <w:rFonts w:ascii="Times New Roman" w:hAnsi="Times New Roman"/>
          <w:sz w:val="24"/>
        </w:rPr>
        <w:footnoteReference w:id="61"/>
      </w:r>
      <w:r>
        <w:rPr>
          <w:rFonts w:ascii="Times New Roman" w:hAnsi="Times New Roman"/>
          <w:sz w:val="24"/>
        </w:rPr>
        <w:t xml:space="preserve"> </w:t>
      </w:r>
      <w:r>
        <w:rPr>
          <w:rFonts w:ascii="Times New Roman" w:hAnsi="Times New Roman"/>
          <w:sz w:val="24"/>
        </w:rPr>
        <w:t xml:space="preserve">it falls due only when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never repays, and likely never if Rocky pays it himself.</w:t>
      </w:r>
    </w:p>
    <w:p>
      <w:pPr>
        <w:pStyle w:val="BodyText"/>
      </w:pPr>
      <w:r>
        <w:rPr>
          <w:rFonts w:ascii="Times New Roman" w:hAnsi="Times New Roman"/>
          <w:sz w:val="24"/>
        </w:rPr>
        <w:t xml:space="preserve">Word count: 1,495</w:t>
      </w:r>
    </w:p>
    <w:bookmarkEnd w:id="62"/>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7) 646–7 (Gibbs J).</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quoting Lord Reid in</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rev’d (1980) 144 CLR 300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w:t>
      </w:r>
    </w:p>
  </w:footnote>
  <w:footnote w:id="3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487 (Taylor and Owen JJ).</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177 (Heydon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16) 269 (Mason and Jacobs JJ).</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[26] (Gaudron, McHugh, Hayne and Callinan JJ).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[25] (Gaudron, McHugh, Hayne and Callinan JJ).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629–30 (Lord Scarman for the Board).</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31) 456.</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164 (Heydon JA).</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27) 437 (Barwick CJ).</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Times New Roman"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2026-10-13T09:12:08Z</dcterms:created>
  <dcterms:modified xsi:type="dcterms:W3CDTF">2026-10-13T09:12:08Z</dcterms:modified>
</cp:coreProperties>
</file>

<file path=docProps/custom.xml><?xml version="1.0" encoding="utf-8"?>
<Properties xmlns="http://schemas.openxmlformats.org/officeDocument/2006/custom-properties" xmlns:vt="http://schemas.openxmlformats.org/officeDocument/2006/docPropsVTypes"/>
</file>