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/>
          <w:sz w:val="24"/>
        </w:rPr>
        <w:t xml:space="preserve">Breach, damages and guarantee law lie outside Weeks 1 to 4, and nothing shows Grace promised reimbursement;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legally binding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Development Agreement pays only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if the Project made a profit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which is unproven.</w:t>
      </w:r>
    </w:p>
    <w:bookmarkStart w:id="45" w:name="i.-rocky-v-grace"/>
    <w:p>
      <w:pPr>
        <w:pStyle w:val="Heading2"/>
      </w:pPr>
      <w:r>
        <w:rPr>
          <w:rFonts w:ascii="Times New Roman" w:hAnsi="Times New Roman"/>
        </w:rPr>
        <w:t xml:space="preserve">I. ROCKY v GRACE</w:t>
      </w:r>
    </w:p>
    <w:bookmarkStart w:id="22" w:name="a.-offer"/>
    <w:p>
      <w:pPr>
        <w:pStyle w:val="Heading3"/>
      </w:pPr>
      <w:r>
        <w:rPr>
          <w:rFonts w:ascii="Times New Roman" w:hAnsi="Times New Roman"/>
        </w:rPr>
        <w:t xml:space="preserve">A. Offer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Grace’s call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proposed that Rocky offer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an invitation to treat, and bullets 2 and 3,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Potential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wait and see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promise nothing. On construction, unlike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Gibson</w:t>
      </w:r>
      <w:r>
        <w:rPr>
          <w:rFonts w:ascii="Times New Roman" w:hAnsi="Times New Roman"/>
          <w:sz w:val="24"/>
        </w:rPr>
        <w:t xml:space="preserve">’s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may be prepared to sell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I will lend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Please confirm agreement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sought assent.</w:t>
      </w:r>
      <w:r>
        <w:rPr>
          <w:rStyle w:val="FootnoteReference"/>
          <w:rFonts w:ascii="Times New Roman" w:hAnsi="Times New Roman"/>
          <w:sz w:val="24"/>
        </w:rPr>
        <w:footnoteReference w:id="20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Yet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Gibson</w:t>
      </w:r>
      <w:r>
        <w:rPr>
          <w:rFonts w:ascii="Times New Roman" w:hAnsi="Times New Roman"/>
          <w:sz w:val="24"/>
        </w:rPr>
        <w:t xml:space="preserve">’s indicative paragraph could read as a firm offer only absent its disclaimer, which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subject to satisfactory conditions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may resemble.</w:t>
      </w:r>
      <w:r>
        <w:rPr>
          <w:rStyle w:val="FootnoteReference"/>
          <w:rFonts w:ascii="Times New Roman" w:hAnsi="Times New Roman"/>
          <w:sz w:val="24"/>
        </w:rPr>
        <w:footnoteReference w:id="21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Bullet 1 is therefore likely an offer in form.</w:t>
      </w:r>
    </w:p>
    <w:bookmarkEnd w:id="22"/>
    <w:bookmarkStart w:id="24" w:name="b.-acceptance"/>
    <w:p>
      <w:pPr>
        <w:pStyle w:val="Heading3"/>
      </w:pPr>
      <w:r>
        <w:rPr>
          <w:rFonts w:ascii="Times New Roman" w:hAnsi="Times New Roman"/>
        </w:rPr>
        <w:t xml:space="preserve">B. Acceptance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Acceptance requires an external manifestation of assent:</w:t>
      </w:r>
      <w:r>
        <w:rPr>
          <w:rStyle w:val="FootnoteReference"/>
          <w:rFonts w:ascii="Times New Roman" w:hAnsi="Times New Roman"/>
          <w:sz w:val="24"/>
        </w:rPr>
        <w:footnoteReference w:id="23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Grace’s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Confirmed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sent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15 minutes later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added nothing, so it was no counter-offer and accepted the whole email.</w:t>
      </w:r>
    </w:p>
    <w:bookmarkEnd w:id="24"/>
    <w:bookmarkStart w:id="27" w:name="c.-consideration"/>
    <w:p>
      <w:pPr>
        <w:pStyle w:val="Heading3"/>
      </w:pPr>
      <w:r>
        <w:rPr>
          <w:rFonts w:ascii="Times New Roman" w:hAnsi="Times New Roman"/>
        </w:rPr>
        <w:t xml:space="preserve">C. Consideration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Consideration is a price for the promise:</w:t>
      </w:r>
      <w:r>
        <w:rPr>
          <w:rStyle w:val="FootnoteReference"/>
          <w:rFonts w:ascii="Times New Roman" w:hAnsi="Times New Roman"/>
          <w:sz w:val="24"/>
        </w:rPr>
        <w:footnoteReference w:id="25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Rocky’s promise to lend was given for Grace’s promise to repay 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5% interest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arguably implied by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Confirmed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 Grace’s promises to AMPL were likely given for its promise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12 months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4% per annum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26"/>
      </w:r>
    </w:p>
    <w:bookmarkEnd w:id="27"/>
    <w:bookmarkStart w:id="32" w:name="d.-intention-to-create-legal-relations"/>
    <w:p>
      <w:pPr>
        <w:pStyle w:val="Heading3"/>
      </w:pPr>
      <w:r>
        <w:rPr>
          <w:rFonts w:ascii="Times New Roman" w:hAnsi="Times New Roman"/>
        </w:rPr>
        <w:t xml:space="preserve">D. Intention to create legal relations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Intention is assessed objectively, without presumptions, Rocky bearing the onus; the parties’ status 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project developers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favours it.</w:t>
      </w:r>
      <w:r>
        <w:rPr>
          <w:rStyle w:val="FootnoteReference"/>
          <w:rFonts w:ascii="Times New Roman" w:hAnsi="Times New Roman"/>
          <w:sz w:val="24"/>
        </w:rPr>
        <w:footnoteReference w:id="28"/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Masters</w:t>
      </w:r>
      <w:r>
        <w:rPr>
          <w:rFonts w:ascii="Times New Roman" w:hAnsi="Times New Roman"/>
          <w:sz w:val="24"/>
        </w:rPr>
        <w:t xml:space="preserve">, asking whether a document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only a record of terms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</w:t>
      </w:r>
      <w:r>
        <w:rPr>
          <w:rStyle w:val="FootnoteReference"/>
          <w:rFonts w:ascii="Times New Roman" w:hAnsi="Times New Roman"/>
          <w:sz w:val="24"/>
        </w:rPr>
        <w:footnoteReference w:id="2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assumed a contemplated formal contract. Where none is stipulated, the question is whether terms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should be put into form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 await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 new agreement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on terms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not expressed in detail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30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Although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Confirmed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settled amount, date, term and rate, as in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Niesmann</w:t>
      </w:r>
      <w:r>
        <w:rPr>
          <w:rFonts w:ascii="Times New Roman" w:hAnsi="Times New Roman"/>
          <w:sz w:val="24"/>
        </w:rPr>
        <w:t xml:space="preserve">, where signing conditioned only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the obligation to pay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</w:t>
      </w:r>
      <w:r>
        <w:rPr>
          <w:rStyle w:val="FootnoteReference"/>
          <w:rFonts w:ascii="Times New Roman" w:hAnsi="Times New Roman"/>
          <w:sz w:val="24"/>
        </w:rPr>
        <w:footnoteReference w:id="31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satisfactory conditions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left further terms of the loan to Rocky. On balance, the better view is that the parties likely did not intend to be bound, unless those terms were settled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this morning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</w:p>
    <w:bookmarkEnd w:id="32"/>
    <w:bookmarkStart w:id="37" w:name="e.-certainty"/>
    <w:p>
      <w:pPr>
        <w:pStyle w:val="Heading3"/>
      </w:pPr>
      <w:r>
        <w:rPr>
          <w:rFonts w:ascii="Times New Roman" w:hAnsi="Times New Roman"/>
        </w:rPr>
        <w:t xml:space="preserve">E. Certainty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Rocky’s promise is illusory if its performance rests on his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unfettered discretion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33"/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Meehan</w:t>
      </w:r>
      <w:r>
        <w:rPr>
          <w:rFonts w:ascii="Times New Roman" w:hAnsi="Times New Roman"/>
          <w:sz w:val="24"/>
        </w:rPr>
        <w:t xml:space="preserve">,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satisfactory terms and conditions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is distinguishable: there the discretion concerned only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the fulfilment of a condition upon which the contract depends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34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Here the conditions, as construed above, are the loan’s own terms, which an implied duty to judge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satisfactory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honestly cannot supply.</w:t>
      </w:r>
      <w:r>
        <w:rPr>
          <w:rStyle w:val="FootnoteReference"/>
          <w:rFonts w:ascii="Times New Roman" w:hAnsi="Times New Roman"/>
          <w:sz w:val="24"/>
        </w:rPr>
        <w:footnoteReference w:id="35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Godecke</w:t>
      </w:r>
      <w:r>
        <w:rPr>
          <w:rFonts w:ascii="Times New Roman" w:hAnsi="Times New Roman"/>
          <w:sz w:val="24"/>
        </w:rPr>
        <w:t xml:space="preserve">, Gibbs J, obiter, doubted that terms left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to be settled by one of the parties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bind,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Perhaps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excepting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subsidiary matters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which the loan’s own conditions arguably exceed.</w:t>
      </w:r>
      <w:r>
        <w:rPr>
          <w:rStyle w:val="FootnoteReference"/>
          <w:rFonts w:ascii="Times New Roman" w:hAnsi="Times New Roman"/>
          <w:sz w:val="24"/>
        </w:rPr>
        <w:footnoteReference w:id="36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promise is therefore arguably illusory.</w:t>
      </w:r>
    </w:p>
    <w:bookmarkEnd w:id="37"/>
    <w:bookmarkStart w:id="44" w:name="f.-privity"/>
    <w:p>
      <w:pPr>
        <w:pStyle w:val="Heading3"/>
      </w:pPr>
      <w:r>
        <w:rPr>
          <w:rFonts w:ascii="Times New Roman" w:hAnsi="Times New Roman"/>
        </w:rPr>
        <w:t xml:space="preserve">F. Privity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Even if the email bound, AMPL was Rocky’s agent only if purporting to act for him, not solely for itself:</w:t>
      </w:r>
      <w:r>
        <w:rPr>
          <w:rStyle w:val="FootnoteReference"/>
          <w:rFonts w:ascii="Times New Roman" w:hAnsi="Times New Roman"/>
          <w:sz w:val="24"/>
        </w:rPr>
        <w:footnoteReference w:id="38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though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Rocky asked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AMPL lent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$1,150,000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not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$1 million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and took his guarantee, so Rocky lent nothing.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Only a party can enforce a contract, and only if he provided consideration;</w:t>
      </w:r>
      <w:r>
        <w:rPr>
          <w:rStyle w:val="FootnoteReference"/>
          <w:rFonts w:ascii="Times New Roman" w:hAnsi="Times New Roman"/>
          <w:sz w:val="24"/>
        </w:rPr>
        <w:footnoteReference w:id="3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whether one is a party turns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the written instrument itself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not signature.</w:t>
      </w:r>
      <w:r>
        <w:rPr>
          <w:rStyle w:val="FootnoteReference"/>
          <w:rFonts w:ascii="Times New Roman" w:hAnsi="Times New Roman"/>
          <w:sz w:val="24"/>
        </w:rPr>
        <w:footnoteReference w:id="40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Mrs Coulls signed, yet the contract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purports expressly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be between her husband and the company;</w:t>
      </w:r>
      <w:r>
        <w:rPr>
          <w:rStyle w:val="FootnoteReference"/>
          <w:rFonts w:ascii="Times New Roman" w:hAnsi="Times New Roman"/>
          <w:sz w:val="24"/>
        </w:rPr>
        <w:footnoteReference w:id="41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likewise AMPL and Grace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entered into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Loan Agreement. Nothing makes Grace’s promise one to Rocky, so his joint promisee argument fails.</w:t>
      </w:r>
      <w:r>
        <w:rPr>
          <w:rStyle w:val="FootnoteReference"/>
          <w:rFonts w:ascii="Times New Roman" w:hAnsi="Times New Roman"/>
          <w:sz w:val="24"/>
        </w:rPr>
        <w:footnoteReference w:id="42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Grace’s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I never signed anything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therefore right, though not for that reason, and the 5 March demand, arguably premised on the 12 months having run, fails.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AMPL, the contracting party, enforces its loan, agency fails and no trust or estoppel appears, so nothing circumvents the privity rule.</w:t>
      </w:r>
      <w:r>
        <w:rPr>
          <w:rStyle w:val="FootnoteReference"/>
          <w:rFonts w:ascii="Times New Roman" w:hAnsi="Times New Roman"/>
          <w:sz w:val="24"/>
        </w:rPr>
        <w:footnoteReference w:id="43"/>
      </w:r>
    </w:p>
    <w:bookmarkEnd w:id="44"/>
    <w:bookmarkEnd w:id="45"/>
    <w:bookmarkStart w:id="88" w:name="ii.-rocky-v-ampl-alternatively-pierre"/>
    <w:p>
      <w:pPr>
        <w:pStyle w:val="Heading2"/>
      </w:pPr>
      <w:r>
        <w:rPr>
          <w:rFonts w:ascii="Times New Roman" w:hAnsi="Times New Roman"/>
        </w:rPr>
        <w:t xml:space="preserve">II. ROCKY v AMPL (ALTERNATIVELY PIERRE)</w:t>
      </w:r>
    </w:p>
    <w:bookmarkStart w:id="48" w:name="a.-offer-1"/>
    <w:p>
      <w:pPr>
        <w:pStyle w:val="Heading3"/>
      </w:pPr>
      <w:r>
        <w:rPr>
          <w:rFonts w:ascii="Times New Roman" w:hAnsi="Times New Roman"/>
        </w:rPr>
        <w:t xml:space="preserve">A. Offer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Pierre’s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expected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proposed nothing Rocky could accept, so it was likely an invitation to treat;</w:t>
      </w:r>
      <w:r>
        <w:rPr>
          <w:rStyle w:val="FootnoteReference"/>
          <w:rFonts w:ascii="Times New Roman" w:hAnsi="Times New Roman"/>
          <w:sz w:val="24"/>
        </w:rPr>
        <w:footnoteReference w:id="46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Rocky’s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if you also promise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sought a return promise, so he offered a bilateral contract.</w:t>
      </w:r>
      <w:r>
        <w:rPr>
          <w:rStyle w:val="FootnoteReference"/>
          <w:rFonts w:ascii="Times New Roman" w:hAnsi="Times New Roman"/>
          <w:sz w:val="24"/>
        </w:rPr>
        <w:footnoteReference w:id="47"/>
      </w:r>
    </w:p>
    <w:bookmarkEnd w:id="48"/>
    <w:bookmarkStart w:id="52" w:name="b.-acceptance-1"/>
    <w:p>
      <w:pPr>
        <w:pStyle w:val="Heading3"/>
      </w:pPr>
      <w:r>
        <w:rPr>
          <w:rFonts w:ascii="Times New Roman" w:hAnsi="Times New Roman"/>
        </w:rPr>
        <w:t xml:space="preserve">B. Acceptance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Pierre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agreed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manifesting assent to Rocky’s offer, so he accepted for whomever he represented.</w:t>
      </w:r>
      <w:r>
        <w:rPr>
          <w:rStyle w:val="FootnoteReference"/>
          <w:rFonts w:ascii="Times New Roman" w:hAnsi="Times New Roman"/>
          <w:sz w:val="24"/>
        </w:rPr>
        <w:footnoteReference w:id="4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AMPL would say nothing bound until execution. Yet, as Lord Greene MR said of exchanges of contracts, parties are bound when and how they contemplate:</w:t>
      </w:r>
      <w:r>
        <w:rPr>
          <w:rStyle w:val="FootnoteReference"/>
          <w:rFonts w:ascii="Times New Roman" w:hAnsi="Times New Roman"/>
          <w:sz w:val="24"/>
        </w:rPr>
        <w:footnoteReference w:id="50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nothing required a document or reserved a right to withdraw.</w:t>
      </w:r>
      <w:r>
        <w:rPr>
          <w:rStyle w:val="FootnoteReference"/>
          <w:rFonts w:ascii="Times New Roman" w:hAnsi="Times New Roman"/>
          <w:sz w:val="24"/>
        </w:rPr>
        <w:footnoteReference w:id="51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oral bargain, the undertaking for the $10,000, therefore likely bound.</w:t>
      </w:r>
    </w:p>
    <w:bookmarkEnd w:id="52"/>
    <w:bookmarkStart w:id="60" w:name="c.-consideration-1"/>
    <w:p>
      <w:pPr>
        <w:pStyle w:val="Heading3"/>
      </w:pPr>
      <w:r>
        <w:rPr>
          <w:rFonts w:ascii="Times New Roman" w:hAnsi="Times New Roman"/>
        </w:rPr>
        <w:t xml:space="preserve">C. Consideration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The $10,000 promise, sought by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if you also promise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priced Rocky’s undertaking,</w:t>
      </w:r>
      <w:r>
        <w:rPr>
          <w:rStyle w:val="FootnoteReference"/>
          <w:rFonts w:ascii="Times New Roman" w:hAnsi="Times New Roman"/>
          <w:sz w:val="24"/>
        </w:rPr>
        <w:footnoteReference w:id="53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which moved from him as promisee;</w:t>
      </w:r>
      <w:r>
        <w:rPr>
          <w:rStyle w:val="FootnoteReference"/>
          <w:rFonts w:ascii="Times New Roman" w:hAnsi="Times New Roman"/>
          <w:sz w:val="24"/>
        </w:rPr>
        <w:footnoteReference w:id="54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if Pierre promised, Rocky’s detriment likely suffices, though AMPL benefits.</w:t>
      </w:r>
      <w:r>
        <w:rPr>
          <w:rStyle w:val="FootnoteReference"/>
          <w:rFonts w:ascii="Times New Roman" w:hAnsi="Times New Roman"/>
          <w:sz w:val="24"/>
        </w:rPr>
        <w:footnoteReference w:id="55"/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A promise to perform an existing legal duty is no consideration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at least when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made by a party to a pre-existing contract to the promisee under it.</w:t>
      </w:r>
      <w:r>
        <w:rPr>
          <w:rStyle w:val="FootnoteReference"/>
          <w:rFonts w:ascii="Times New Roman" w:hAnsi="Times New Roman"/>
          <w:sz w:val="24"/>
        </w:rPr>
        <w:footnoteReference w:id="56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AMPL would say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also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the clause show a guarantee already given; as in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Sundell</w:t>
      </w:r>
      <w:r>
        <w:rPr>
          <w:rFonts w:ascii="Times New Roman" w:hAnsi="Times New Roman"/>
          <w:sz w:val="24"/>
        </w:rPr>
        <w:t xml:space="preserve">, a promise to ensure performance already owed is no consideration.</w:t>
      </w:r>
      <w:r>
        <w:rPr>
          <w:rStyle w:val="FootnoteReference"/>
          <w:rFonts w:ascii="Times New Roman" w:hAnsi="Times New Roman"/>
          <w:sz w:val="24"/>
        </w:rPr>
        <w:footnoteReference w:id="57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Yet no earlier promise binds Rocky: his 27 February request did not itself establish a contract,</w:t>
      </w:r>
      <w:r>
        <w:rPr>
          <w:rStyle w:val="FootnoteReference"/>
          <w:rFonts w:ascii="Times New Roman" w:hAnsi="Times New Roman"/>
          <w:sz w:val="24"/>
        </w:rPr>
        <w:footnoteReference w:id="58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the clause was arguably included after the exchange. If Pierre promised, Rocky’s promise to him to perform a duty owed to AMPL, a third party, can be consideration.</w:t>
      </w:r>
      <w:r>
        <w:rPr>
          <w:rStyle w:val="FootnoteReference"/>
          <w:rFonts w:ascii="Times New Roman" w:hAnsi="Times New Roman"/>
          <w:sz w:val="24"/>
        </w:rPr>
        <w:footnoteReference w:id="5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Ensuring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all payments … promptly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also exceeds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repayment of the Loan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so, on balance, Rocky likely gave consideration, though an earlier clause would favour AMPL.</w:t>
      </w:r>
    </w:p>
    <w:bookmarkEnd w:id="60"/>
    <w:bookmarkStart w:id="63" w:name="d.-intention-to-create-legal-relations-1"/>
    <w:p>
      <w:pPr>
        <w:pStyle w:val="Heading3"/>
      </w:pPr>
      <w:r>
        <w:rPr>
          <w:rFonts w:ascii="Times New Roman" w:hAnsi="Times New Roman"/>
        </w:rPr>
        <w:t xml:space="preserve">D. Intention to create legal relations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No presumption governs cousins; Rocky bears the onus.</w:t>
      </w:r>
      <w:r>
        <w:rPr>
          <w:rStyle w:val="FootnoteReference"/>
          <w:rFonts w:ascii="Times New Roman" w:hAnsi="Times New Roman"/>
          <w:sz w:val="24"/>
        </w:rPr>
        <w:footnoteReference w:id="61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However, the undertaking resembles a letter of comfort, which in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Banque Brussels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conditioned the facility,</w:t>
      </w:r>
      <w:r>
        <w:rPr>
          <w:rStyle w:val="FootnoteReference"/>
          <w:rFonts w:ascii="Times New Roman" w:hAnsi="Times New Roman"/>
          <w:sz w:val="24"/>
        </w:rPr>
        <w:footnoteReference w:id="62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marking the letter as serious, whereas AMPL had already advanced. Yet the undertaking was priced 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$10,000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given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at AMPL’s office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 Intention is therefore likely present on both sides, the price outweighing cousinhood even if Pierre promised.</w:t>
      </w:r>
    </w:p>
    <w:bookmarkEnd w:id="63"/>
    <w:bookmarkStart w:id="66" w:name="e.-certainty-1"/>
    <w:p>
      <w:pPr>
        <w:pStyle w:val="Heading3"/>
      </w:pPr>
      <w:r>
        <w:rPr>
          <w:rFonts w:ascii="Times New Roman" w:hAnsi="Times New Roman"/>
        </w:rPr>
        <w:t xml:space="preserve">E. Certainty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Ensuring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all payments … promptly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measured by the loan’s timetable, is not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so obscure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that no intention can be attributed.</w:t>
      </w:r>
      <w:r>
        <w:rPr>
          <w:rStyle w:val="FootnoteReference"/>
          <w:rFonts w:ascii="Times New Roman" w:hAnsi="Times New Roman"/>
          <w:sz w:val="24"/>
        </w:rPr>
        <w:footnoteReference w:id="64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AMPL’s promise, depending on Grace’s repayment, not its choice, is not illusory.</w:t>
      </w:r>
      <w:r>
        <w:rPr>
          <w:rStyle w:val="FootnoteReference"/>
          <w:rFonts w:ascii="Times New Roman" w:hAnsi="Times New Roman"/>
          <w:sz w:val="24"/>
        </w:rPr>
        <w:footnoteReference w:id="65"/>
      </w:r>
    </w:p>
    <w:bookmarkEnd w:id="66"/>
    <w:bookmarkStart w:id="69" w:name="f.-privity-1"/>
    <w:p>
      <w:pPr>
        <w:pStyle w:val="Heading3"/>
      </w:pPr>
      <w:r>
        <w:rPr>
          <w:rFonts w:ascii="Times New Roman" w:hAnsi="Times New Roman"/>
        </w:rPr>
        <w:t xml:space="preserve">F. Privity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Rocky, the promisee and payee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to me directly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gave consideration, so privity does not bar him.</w:t>
      </w:r>
      <w:r>
        <w:rPr>
          <w:rStyle w:val="FootnoteReference"/>
          <w:rFonts w:ascii="Times New Roman" w:hAnsi="Times New Roman"/>
          <w:sz w:val="24"/>
        </w:rPr>
        <w:footnoteReference w:id="67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clause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included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most naturally means the guarantee clause, the only one named; even a written $10,000 term would leave him the oral promise.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Who promised turns on the doctrine of agency: whether AMPL consented to Pierre acting for it, and whether he purported to act for it or solely for himself.</w:t>
      </w:r>
      <w:r>
        <w:rPr>
          <w:rStyle w:val="FootnoteReference"/>
          <w:rFonts w:ascii="Times New Roman" w:hAnsi="Times New Roman"/>
          <w:sz w:val="24"/>
        </w:rPr>
        <w:footnoteReference w:id="68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AMPL,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owned and controlled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by Pierre, likely consented; his purporting to act for it is contested: Rocky asked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you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also promise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 Yet Pierre spoke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at AMPL’s office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about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payments under the Loan Agreement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and AMPL called under the guarantee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provided by Rocky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arguably his undertaking. On balance, AMPL likely promised, because Pierre spoke throughout about AMPL’s loan, though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you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keeps Pierre arguable.</w:t>
      </w:r>
    </w:p>
    <w:bookmarkEnd w:id="69"/>
    <w:bookmarkStart w:id="72" w:name="g.-the-12-months"/>
    <w:p>
      <w:pPr>
        <w:pStyle w:val="Heading3"/>
      </w:pPr>
      <w:r>
        <w:rPr>
          <w:rFonts w:ascii="Times New Roman" w:hAnsi="Times New Roman"/>
        </w:rPr>
        <w:t xml:space="preserve">G. The 12 months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12 months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are construed objectively: pre-contractual conduct is admissible only if the words are ambiguous, and post-contractual conduct cannot show meaning.</w:t>
      </w:r>
      <w:r>
        <w:rPr>
          <w:rStyle w:val="FootnoteReference"/>
          <w:rFonts w:ascii="Times New Roman" w:hAnsi="Times New Roman"/>
          <w:sz w:val="24"/>
        </w:rPr>
        <w:footnoteReference w:id="70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words are arguably ambiguous: the instrument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recorded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sum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advanced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on 27 February, the transaction’s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genesis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71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Although the rate, term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appropriate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interest appear first from 8 April, the period on balance likely ran from 27 February, though only slightly,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12 months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attaching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the Loan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then advanced, unless the agreement dates them otherwise.</w:t>
      </w:r>
    </w:p>
    <w:bookmarkEnd w:id="72"/>
    <w:bookmarkStart w:id="76" w:name="h.-condition-precedent"/>
    <w:p>
      <w:pPr>
        <w:pStyle w:val="Heading3"/>
      </w:pPr>
      <w:r>
        <w:rPr>
          <w:rFonts w:ascii="Times New Roman" w:hAnsi="Times New Roman"/>
        </w:rPr>
        <w:t xml:space="preserve">H. Condition precedent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The bargain binding at once,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once Grace repays the Loan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conditions AMPL’s obligation, not the contract, which becomes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completely binding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on fulfilment;</w:t>
      </w:r>
      <w:r>
        <w:rPr>
          <w:rStyle w:val="FootnoteReference"/>
          <w:rFonts w:ascii="Times New Roman" w:hAnsi="Times New Roman"/>
          <w:sz w:val="24"/>
        </w:rPr>
        <w:footnoteReference w:id="73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on 9 March 2025 Grace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had not yet repaid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so nothing was payable. Rocky’s payment on the call would not literally meet words naming Grace, nor commercially: the $10,000 falls due on what his undertaking secured, Grace’s repayment.</w:t>
      </w:r>
      <w:r>
        <w:rPr>
          <w:rStyle w:val="FootnoteReference"/>
          <w:rFonts w:ascii="Times New Roman" w:hAnsi="Times New Roman"/>
          <w:sz w:val="24"/>
        </w:rPr>
        <w:footnoteReference w:id="74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Rocky would invoke the duty to co-operate,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to do everything necessary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 his benefit.</w:t>
      </w:r>
      <w:r>
        <w:rPr>
          <w:rStyle w:val="FootnoteReference"/>
          <w:rFonts w:ascii="Times New Roman" w:hAnsi="Times New Roman"/>
          <w:sz w:val="24"/>
        </w:rPr>
        <w:footnoteReference w:id="75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Yet nothing suggests AMPL’s call stops Grace repaying, so AMPL has omitted nothing necessary. His payment therefore likely does not meet the condition.</w:t>
      </w:r>
    </w:p>
    <w:bookmarkEnd w:id="76"/>
    <w:bookmarkStart w:id="87" w:name="i.-privity-ampls-call"/>
    <w:p>
      <w:pPr>
        <w:pStyle w:val="Heading3"/>
      </w:pPr>
      <w:r>
        <w:rPr>
          <w:rFonts w:ascii="Times New Roman" w:hAnsi="Times New Roman"/>
        </w:rPr>
        <w:t xml:space="preserve">I. Privity: AMPL’s call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A contract cannot impose an enforceable burden on a non-party:</w:t>
      </w:r>
      <w:r>
        <w:rPr>
          <w:rStyle w:val="FootnoteReference"/>
          <w:rFonts w:ascii="Times New Roman" w:hAnsi="Times New Roman"/>
          <w:sz w:val="24"/>
        </w:rPr>
        <w:footnoteReference w:id="77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guarantee clause binds Rocky only if he manifested assent,</w:t>
      </w:r>
      <w:r>
        <w:rPr>
          <w:rStyle w:val="FootnoteReference"/>
          <w:rFonts w:ascii="Times New Roman" w:hAnsi="Times New Roman"/>
          <w:sz w:val="24"/>
        </w:rPr>
        <w:footnoteReference w:id="78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signature being neither necessary</w:t>
      </w:r>
      <w:r>
        <w:rPr>
          <w:rStyle w:val="FootnoteReference"/>
          <w:rFonts w:ascii="Times New Roman" w:hAnsi="Times New Roman"/>
          <w:sz w:val="24"/>
        </w:rPr>
        <w:footnoteReference w:id="7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nor decisive.</w:t>
      </w:r>
      <w:r>
        <w:rPr>
          <w:rStyle w:val="FootnoteReference"/>
          <w:rFonts w:ascii="Times New Roman" w:hAnsi="Times New Roman"/>
          <w:sz w:val="24"/>
        </w:rPr>
        <w:footnoteReference w:id="80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I will do that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likely binds him, but to AMPL only if Pierre accepted for it; otherwise AMPL has only the clause.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Rocky promised what Pierre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expected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ensuring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all payments … promptly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whereas the clause concerns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repayment of the Loan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 He assented to the clause if,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 reasonable opportunity to reject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he took the benefit of AMPL’s offer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with knowledge of its terms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:</w:t>
      </w:r>
      <w:r>
        <w:rPr>
          <w:rStyle w:val="FootnoteReference"/>
          <w:rFonts w:ascii="Times New Roman" w:hAnsi="Times New Roman"/>
          <w:sz w:val="24"/>
        </w:rPr>
        <w:footnoteReference w:id="81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his entitlement to the unpaid $10,000 was itself a benefit,</w:t>
      </w:r>
      <w:r>
        <w:rPr>
          <w:rStyle w:val="FootnoteReference"/>
          <w:rFonts w:ascii="Times New Roman" w:hAnsi="Times New Roman"/>
          <w:sz w:val="24"/>
        </w:rPr>
        <w:footnoteReference w:id="82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the clause was included, arguably at the meeting 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attended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 The guarantee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provided by Rocky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proves he gave one, not that he knew the clause’s words; he likely assented unless he never saw them.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If AMPL promised the $10,000, that promise is its consideration. If Pierre promised, AMPL’s advance was past consideration,</w:t>
      </w:r>
      <w:r>
        <w:rPr>
          <w:rStyle w:val="FootnoteReference"/>
          <w:rFonts w:ascii="Times New Roman" w:hAnsi="Times New Roman"/>
          <w:sz w:val="24"/>
        </w:rPr>
        <w:footnoteReference w:id="83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sufficing under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Pao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only if, besides Rocky’s request, the parties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understood that the act was to be remunerated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84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Nothing shows that understanding on 27 February, whereas in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Pao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it existed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at the time of the main agreement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85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AMPL would rely instead on entering the Loan Agreement; yet Rocky priced his undertaking 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$10,000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</w:t>
      </w:r>
      <w:r>
        <w:rPr>
          <w:rStyle w:val="FootnoteReference"/>
          <w:rFonts w:ascii="Times New Roman" w:hAnsi="Times New Roman"/>
          <w:sz w:val="24"/>
        </w:rPr>
        <w:footnoteReference w:id="86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so AMPL arguably gave no consideration.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If the 12 months ran from 27 February, the call was not premature; from 8 April, it was premature as to principal, which only postpones liability. Interest shown paid only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8 February 2025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makes a March default arguable. If AMPL promised, Rocky likely owes AMPL on Grace’s default and, if he pays, likely loses the $10,000; if Pierre promised, Rocky claims against Pierre and is likely liable to him.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Word count: 1,498</w:t>
      </w:r>
    </w:p>
    <w:bookmarkEnd w:id="87"/>
    <w:bookmarkEnd w:id="88"/>
    <w:sectPr>
      <w:headerReference w:type="default" r:id="rId9"/>
      <w:footerReference w:type="default" r:id="rId10"/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ascii="Times New Roman" w:hAnsi="Times New Roman" w:cs="Times New Roman"/>
        </w:rPr>
        <w:continuationSeparator/>
      </w:r>
    </w:p>
  </w:footnote>
  <w:footnote w:type="separator" w:id="-1">
    <w:p>
      <w:r>
        <w:rPr>
          <w:rFonts w:ascii="Times New Roman" w:hAnsi="Times New Roman" w:cs="Times New Roman"/>
        </w:rPr>
        <w:separator/>
      </w:r>
    </w:p>
  </w:footnote>
  <w:footnote w:id="20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Gibson v Manchester City Council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[1979] 1 WLR 294, 298 (Lord Diplock)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Gibson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21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Ibid.</w:t>
      </w:r>
    </w:p>
  </w:footnote>
  <w:footnote w:id="23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Empirnall Holdings Pty Ltd v Machon Paull Partners Pty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(1988) 14 NSWLR 523, 534 (McHugh JA)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Empirnall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25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Beaton v McDivitt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(1987) 13 NSWLR 162, 168 (Kirby P)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Beaton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26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Ibid.</w:t>
      </w:r>
    </w:p>
  </w:footnote>
  <w:footnote w:id="28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Ermogenous v Greek Orthodox Community of SA Inc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(2002) 209 CLR 95, [25]–[26] (Gaudron, McHugh, Hayne and Callinan JJ)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Ermogenous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29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Masters v Cameron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(1954) 91 CLR 353, 360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Masters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30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 363, quoting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Winn v Bull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(1877) 7 Ch D 29, 32 (Jessel MR).</w:t>
      </w:r>
    </w:p>
  </w:footnote>
  <w:footnote w:id="31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Masters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7) 361, discussing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Niesmann v Collingridge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(1921) 29 CLR 177.</w:t>
      </w:r>
    </w:p>
  </w:footnote>
  <w:footnote w:id="33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Biotechnology Australia Pty Ltd v Pace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(1988) 15 NSWLR 130, 151 (McHugh JA).</w:t>
      </w:r>
    </w:p>
  </w:footnote>
  <w:footnote w:id="34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Meehan v Jones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(1982) 149 CLR 571, 580–1 (Gibbs CJ)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Meehan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35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 581 (Gibbs CJ).</w:t>
      </w:r>
    </w:p>
  </w:footnote>
  <w:footnote w:id="36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Godecke v Kirwan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(1973) 129 CLR 629, 646–7 (Gibbs J).</w:t>
      </w:r>
    </w:p>
  </w:footnote>
  <w:footnote w:id="38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Andrew Robertson and Jeannie Paterson,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Contract: Cases and Materials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(Lawbook Co, 15th ed, 2025) [11.70].</w:t>
      </w:r>
    </w:p>
  </w:footnote>
  <w:footnote w:id="39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Coulls v Bagot’s Executor &amp; Trustee Co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(1967) 119 CLR 460, 494–5 (Windeyer J dissenting)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Coulls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40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 487 (Taylor and Owen JJ).</w:t>
      </w:r>
    </w:p>
  </w:footnote>
  <w:footnote w:id="41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 486 (Taylor and Owen JJ).</w:t>
      </w:r>
    </w:p>
  </w:footnote>
  <w:footnote w:id="42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 486–7 (Taylor and Owen JJ).</w:t>
      </w:r>
    </w:p>
  </w:footnote>
  <w:footnote w:id="43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Class 4A Slides, slide 3.</w:t>
      </w:r>
    </w:p>
  </w:footnote>
  <w:footnote w:id="46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Gibson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1) 298 (Lord Diplock).</w:t>
      </w:r>
    </w:p>
  </w:footnote>
  <w:footnote w:id="47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Brambles Holdings Ltd v Bathurst City Council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(2001) 53 NSWLR 153, 177 (Heydon JA)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Brambles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), quoting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Integrated Computer Services Pty Ltd v Digital Equipment Corp (Aust) Pty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(1988) 5 BPR 11,110, 11,117–18 (McHugh JA).</w:t>
      </w:r>
    </w:p>
  </w:footnote>
  <w:footnote w:id="49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Empirnall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3) 534 (McHugh JA).</w:t>
      </w:r>
    </w:p>
  </w:footnote>
  <w:footnote w:id="50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Brambles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21) 176 (Heydon JA), quoting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Eccles v Bryant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[1948] Ch 93, 104 (Lord Greene MR).</w:t>
      </w:r>
    </w:p>
  </w:footnote>
  <w:footnote w:id="51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Masters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7) 361.</w:t>
      </w:r>
    </w:p>
  </w:footnote>
  <w:footnote w:id="53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Australian Woollen Mills Pty Ltd v Commonwealth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(1954) 92 CLR 424, 456–7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Australian Woollen Mills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54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Beaton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4) 181 (McHugh JA), quoting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Thomas v Thomas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(1842) 2 QB 851, 859; 114 ER 330, 333–4 (Patteson J).</w:t>
      </w:r>
    </w:p>
  </w:footnote>
  <w:footnote w:id="55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Musumeci v Winadell Pty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(1994) 34 NSWLR 723, 745 (Santow J).</w:t>
      </w:r>
    </w:p>
  </w:footnote>
  <w:footnote w:id="56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Wigan v Edwards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(1973) 47 ALJR 586, 594 (Mason J).</w:t>
      </w:r>
    </w:p>
  </w:footnote>
  <w:footnote w:id="57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TA Sundell &amp; Sons Pty Ltd v Emm Yannoulatos (Overseas) Pty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(1955) 56 SR (NSW) 323, 327.</w:t>
      </w:r>
    </w:p>
  </w:footnote>
  <w:footnote w:id="58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Australian Woollen Mills Pty Ltd v Commonwealth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(1955) 93 CLR 546, 550.</w:t>
      </w:r>
    </w:p>
  </w:footnote>
  <w:footnote w:id="59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Pao On v Lau Yiu Long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[1980] AC 614, 632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Pao On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61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Ermogenous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6) [26] (Gaudron, McHugh, Hayne and Callinan JJ).</w:t>
      </w:r>
    </w:p>
  </w:footnote>
  <w:footnote w:id="62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Banque Brussels Lambert SA v Australian National Industries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(1989) 21 NSWLR 502, 521–3 (Rogers CJ).</w:t>
      </w:r>
    </w:p>
  </w:footnote>
  <w:footnote w:id="64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Council of the Upper Hunter County District v Australian Chilling and Freezing Co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(1968) 118 CLR 429, 437 (Barwick CJ)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Upper Hunter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), quoting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G Scammell &amp; Nephew Ltd v Ouston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[1941] AC 251, 268 (Lord Wright).</w:t>
      </w:r>
    </w:p>
  </w:footnote>
  <w:footnote w:id="65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Meehan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11) 581–2 (Gibbs CJ).</w:t>
      </w:r>
    </w:p>
  </w:footnote>
  <w:footnote w:id="67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Coulls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15) 494–5 (Windeyer J dissenting).</w:t>
      </w:r>
    </w:p>
  </w:footnote>
  <w:footnote w:id="68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Robertson and Paterson (n 14) [11.70].</w:t>
      </w:r>
    </w:p>
  </w:footnote>
  <w:footnote w:id="70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Brambles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21) 163–4, 167–8 (Heydon JA).</w:t>
      </w:r>
    </w:p>
  </w:footnote>
  <w:footnote w:id="71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 191 (Ipp AJA).</w:t>
      </w:r>
    </w:p>
  </w:footnote>
  <w:footnote w:id="73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Meehan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11) 582 (Gibbs CJ).</w:t>
      </w:r>
    </w:p>
  </w:footnote>
  <w:footnote w:id="74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Upper Hunter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34) 437 (Barwick CJ).</w:t>
      </w:r>
    </w:p>
  </w:footnote>
  <w:footnote w:id="75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Beaton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4) 185 (McHugh JA), citing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Secured Income Real Estate (Aust) Ltd v St Martins Investments Pty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(1979) 144 CLR 596, 607 (Mason J).</w:t>
      </w:r>
    </w:p>
  </w:footnote>
  <w:footnote w:id="77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Class 4A Slides, slide 2.</w:t>
      </w:r>
    </w:p>
  </w:footnote>
  <w:footnote w:id="78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Empirnall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3) 534 (McHugh JA).</w:t>
      </w:r>
    </w:p>
  </w:footnote>
  <w:footnote w:id="79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 536 (McHugh JA).</w:t>
      </w:r>
    </w:p>
  </w:footnote>
  <w:footnote w:id="80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Coulls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15) 487 (Taylor and Owen JJ).</w:t>
      </w:r>
    </w:p>
  </w:footnote>
  <w:footnote w:id="81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Empirnall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3) 535–6 (McHugh JA).</w:t>
      </w:r>
    </w:p>
  </w:footnote>
  <w:footnote w:id="82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Brambles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21) 182 (Heydon JA).</w:t>
      </w:r>
    </w:p>
  </w:footnote>
  <w:footnote w:id="83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Roscorla v Thomas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(1842) 3 QB 234, 237; 114 ER 496.</w:t>
      </w:r>
    </w:p>
  </w:footnote>
  <w:footnote w:id="84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Pao 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31) 629–30.</w:t>
      </w:r>
    </w:p>
  </w:footnote>
  <w:footnote w:id="85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Ibid.</w:t>
      </w:r>
    </w:p>
  </w:footnote>
  <w:footnote w:id="86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Australian Woollen Mills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25) 456–7.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A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0" w:before="0" w:line="480" w:lineRule="auto"/>
      <w:ind w:firstLine="720"/>
    </w:pPr>
    <w:qFormat/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before="0" w:after="0"/>
      <w:ind w:firstLine="0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480" w:lineRule="auto"/>
    </w:pPr>
    <w:rPr>
      <w:rFonts w:ascii="Times New Roman" w:hAnsi="Times New Roman" w:cs="Times New Roman" w:eastAsia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480" w:lineRule="auto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480" w:lineRule="auto"/>
      <w:jc w:val="center"/>
    </w:pPr>
    <w:rPr>
      <w:rFonts w:ascii="Times New Roman" w:hAnsi="Times New Roman" w:cs="Times New Roman" w:eastAsia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0" w:line="480" w:lineRule="auto"/>
    </w:pPr>
    <w:rPr>
      <w:color w:val="000000"/>
      <w:sz w:val="24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</w:pPr>
    <w:rPr>
      <w:rFonts w:ascii="Times New Roman" w:hAnsi="Times New Roman" w:cs="Times New Roman" w:eastAsia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0" w:line="480" w:lineRule="auto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3"/>
    </w:pPr>
    <w:rPr>
      <w:rFonts w:ascii="Times New Roman" w:hAnsi="Times New Roman" w:cs="Times New Roman" w:eastAsia="Times New Roman"/>
      <w:i w:val="0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4"/>
    </w:pPr>
    <w:rPr>
      <w:rFonts w:ascii="Times New Roman" w:hAnsi="Times New Roman" w:cs="Times New Roman" w:eastAsia="Times New Roman"/>
      <w:b/>
      <w:i w:val="0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5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6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7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8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480" w:lineRule="auto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40" w:lineRule="auto" w:after="0"/>
    </w:pPr>
    <w:rPr>
      <w:rFonts w:ascii="Times New Roman" w:hAnsi="Times New Roman" w:cs="Times New Roman" w:eastAsia="Times New Roman"/>
      <w:color w:val="000000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480" w:lineRule="auto" w:before="0"/>
    </w:pPr>
    <w:rPr>
      <w:rFonts w:ascii="Times New Roman" w:hAnsi="Times New Roman" w:cs="Times New Roman" w:eastAsia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0" w:before="0" w:line="480" w:lineRule="auto"/>
    </w:pPr>
    <w:rPr>
      <w:rFonts w:ascii="Times New Roman" w:hAnsi="Times New Roman" w:cs="Times New Roman" w:eastAsia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customStyle="1" w:styleId="Figure" w:type="paragraph">
    <w:name w:val="Figure"/>
    <w:basedOn w:val="Normal"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color w:val="000000"/>
      <w:sz w:val="20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480" w:lineRule="auto" w:after="0"/>
      <w:outlineLvl w:val="9"/>
    </w:pPr>
    <w:rPr>
      <w:rFonts w:ascii="Times New Roman" w:hAnsi="Times New Roman" w:cs="Times New Roman" w:eastAsia="Times New Roman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2026-10-11T04:27:11Z</dcterms:created>
  <dcterms:modified xsi:type="dcterms:W3CDTF">2026-10-11T04:27:11Z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