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/>
          <w:sz w:val="24"/>
        </w:rPr>
        <w:t xml:space="preserve">Nothing shows Grace promised to reimburse Rocky for paying AMPL;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legally binding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Development Agreement entitles Rocky to repayment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if the Project made a profit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not yet shown.</w:t>
      </w:r>
    </w:p>
    <w:bookmarkStart w:id="46" w:name="i.-rocky-v-grace"/>
    <w:p>
      <w:pPr>
        <w:pStyle w:val="Heading2"/>
      </w:pPr>
      <w:r>
        <w:rPr>
          <w:rFonts w:ascii="Times New Roman" w:hAnsi="Times New Roman"/>
        </w:rPr>
        <w:t xml:space="preserve">I. ROCKY v GRACE</w:t>
      </w:r>
    </w:p>
    <w:bookmarkStart w:id="22" w:name="a.-offer"/>
    <w:p>
      <w:pPr>
        <w:pStyle w:val="Heading3"/>
      </w:pPr>
      <w:r>
        <w:rPr>
          <w:rFonts w:ascii="Times New Roman" w:hAnsi="Times New Roman"/>
        </w:rPr>
        <w:t xml:space="preserve">A. Offer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Grace’s call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proposed that Rocky offer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an invitation to treat; the later bullets,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Potential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wait and see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promise nothing. On construction,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 will lend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Please confirm agreement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unlike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Gibson</w:t>
      </w:r>
      <w:r>
        <w:rPr>
          <w:rFonts w:ascii="Times New Roman" w:hAnsi="Times New Roman"/>
          <w:sz w:val="24"/>
        </w:rPr>
        <w:t xml:space="preserve">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may be prepared to sell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sought assent.</w:t>
      </w:r>
      <w:r>
        <w:rPr>
          <w:rStyle w:val="FootnoteReference"/>
          <w:rFonts w:ascii="Times New Roman" w:hAnsi="Times New Roman"/>
          <w:sz w:val="24"/>
        </w:rPr>
        <w:footnoteReference w:id="2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Yet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Gibson</w:t>
      </w:r>
      <w:r>
        <w:rPr>
          <w:rFonts w:ascii="Times New Roman" w:hAnsi="Times New Roman"/>
          <w:sz w:val="24"/>
        </w:rPr>
        <w:t xml:space="preserve">’s mortgage paragraph might read as a firm offer without its disclaimer,</w:t>
      </w:r>
      <w:r>
        <w:rPr>
          <w:rStyle w:val="FootnoteReference"/>
          <w:rFonts w:ascii="Times New Roman" w:hAnsi="Times New Roman"/>
          <w:sz w:val="24"/>
        </w:rPr>
        <w:footnoteReference w:id="2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subject to satisfactory conditions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may be one; intention and certainty decide this. On balance, bullet 1 is likely an offer in form.</w:t>
      </w:r>
    </w:p>
    <w:bookmarkEnd w:id="22"/>
    <w:bookmarkStart w:id="24" w:name="b.-acceptance"/>
    <w:p>
      <w:pPr>
        <w:pStyle w:val="Heading3"/>
      </w:pPr>
      <w:r>
        <w:rPr>
          <w:rFonts w:ascii="Times New Roman" w:hAnsi="Times New Roman"/>
        </w:rPr>
        <w:t xml:space="preserve">B. Acceptance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Acceptance requires an external manifestation of assent:</w:t>
      </w:r>
      <w:r>
        <w:rPr>
          <w:rStyle w:val="FootnoteReference"/>
          <w:rFonts w:ascii="Times New Roman" w:hAnsi="Times New Roman"/>
          <w:sz w:val="24"/>
        </w:rPr>
        <w:footnoteReference w:id="23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Grace’s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Confirmed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sent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15 minutes later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added nothing, so it was no counter-offer. Grace therefore accepted the offer as made.</w:t>
      </w:r>
    </w:p>
    <w:bookmarkEnd w:id="24"/>
    <w:bookmarkStart w:id="27" w:name="c.-consideration"/>
    <w:p>
      <w:pPr>
        <w:pStyle w:val="Heading3"/>
      </w:pPr>
      <w:r>
        <w:rPr>
          <w:rFonts w:ascii="Times New Roman" w:hAnsi="Times New Roman"/>
        </w:rPr>
        <w:t xml:space="preserve">C. Consideration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Consideration is a price for the promise:</w:t>
      </w:r>
      <w:r>
        <w:rPr>
          <w:rStyle w:val="FootnoteReference"/>
          <w:rFonts w:ascii="Times New Roman" w:hAnsi="Times New Roman"/>
          <w:sz w:val="24"/>
        </w:rPr>
        <w:footnoteReference w:id="2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Rocky’s promise to lend was, in form, given for Grace’s promise to repay 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5% interest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arguably implied by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Confirmed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Grace’s promises to AMPL were likely given for its promise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12 months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4% per annum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26"/>
      </w:r>
    </w:p>
    <w:bookmarkEnd w:id="27"/>
    <w:bookmarkStart w:id="32" w:name="d.-intention-to-create-legal-relations"/>
    <w:p>
      <w:pPr>
        <w:pStyle w:val="Heading3"/>
      </w:pPr>
      <w:r>
        <w:rPr>
          <w:rFonts w:ascii="Times New Roman" w:hAnsi="Times New Roman"/>
        </w:rPr>
        <w:t xml:space="preserve">D. Intention to create legal relations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Intention is assessed objectively, presumptions doubted, Rocky bearing the onus; the parties’ status 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project developers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favours it.</w:t>
      </w:r>
      <w:r>
        <w:rPr>
          <w:rStyle w:val="FootnoteReference"/>
          <w:rFonts w:ascii="Times New Roman" w:hAnsi="Times New Roman"/>
          <w:sz w:val="24"/>
        </w:rPr>
        <w:footnoteReference w:id="28"/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Masters</w:t>
      </w:r>
      <w:r>
        <w:rPr>
          <w:rFonts w:ascii="Times New Roman" w:hAnsi="Times New Roman"/>
          <w:sz w:val="24"/>
        </w:rPr>
        <w:t xml:space="preserve">, asking whether a preliminary agreement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only a record of terms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</w:t>
      </w:r>
      <w:r>
        <w:rPr>
          <w:rStyle w:val="FootnoteReference"/>
          <w:rFonts w:ascii="Times New Roman" w:hAnsi="Times New Roman"/>
          <w:sz w:val="24"/>
        </w:rPr>
        <w:footnoteReference w:id="2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assumed a contemplated formal contract; it applies by analogy. Where none is stipulated, the question is whether terms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should be put into form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be subject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 new agreement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 terms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not expressed in detail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3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As 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Niesmann</w:t>
      </w:r>
      <w:r>
        <w:rPr>
          <w:rFonts w:ascii="Times New Roman" w:hAnsi="Times New Roman"/>
          <w:sz w:val="24"/>
        </w:rPr>
        <w:t xml:space="preserve">, where signing conditioned only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the obligation to pay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</w:t>
      </w:r>
      <w:r>
        <w:rPr>
          <w:rStyle w:val="FootnoteReference"/>
          <w:rFonts w:ascii="Times New Roman" w:hAnsi="Times New Roman"/>
          <w:sz w:val="24"/>
        </w:rPr>
        <w:footnoteReference w:id="3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Confirmed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settled amount, term and rate; yet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satisfactory conditions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left further loan terms to Rocky. On balance, the better view is that the parties likely did not intend to be bound, unless those terms were settled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this morning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</w:p>
    <w:bookmarkEnd w:id="32"/>
    <w:bookmarkStart w:id="38" w:name="e.-certainty"/>
    <w:p>
      <w:pPr>
        <w:pStyle w:val="Heading3"/>
      </w:pPr>
      <w:r>
        <w:rPr>
          <w:rFonts w:ascii="Times New Roman" w:hAnsi="Times New Roman"/>
        </w:rPr>
        <w:t xml:space="preserve">E. Certainty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Rocky’s promise is illusory if its performance rests on 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unfettered discretion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33"/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Meehan</w:t>
      </w:r>
      <w:r>
        <w:rPr>
          <w:rFonts w:ascii="Times New Roman" w:hAnsi="Times New Roman"/>
          <w:sz w:val="24"/>
        </w:rPr>
        <w:t xml:space="preserve">,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satisfactory terms and conditions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is distinguishable: there the discretion concerned only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the fulfilment of a condition upon which the contract depends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34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Amount, term and rate are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specified parameters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</w:t>
      </w:r>
      <w:r>
        <w:rPr>
          <w:rStyle w:val="FootnoteReference"/>
          <w:rFonts w:ascii="Times New Roman" w:hAnsi="Times New Roman"/>
          <w:sz w:val="24"/>
        </w:rPr>
        <w:footnoteReference w:id="3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an implied obligation to act honestly, or honestly and reasonably, would confine Rocky;</w:t>
      </w:r>
      <w:r>
        <w:rPr>
          <w:rStyle w:val="FootnoteReference"/>
          <w:rFonts w:ascii="Times New Roman" w:hAnsi="Times New Roman"/>
          <w:sz w:val="24"/>
        </w:rPr>
        <w:footnoteReference w:id="36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yet the conditions (D) are terms he would set, which could withhold the loan itself. 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Godecke</w:t>
      </w:r>
      <w:r>
        <w:rPr>
          <w:rFonts w:ascii="Times New Roman" w:hAnsi="Times New Roman"/>
          <w:sz w:val="24"/>
        </w:rPr>
        <w:t xml:space="preserve">, Gibbs J, obiter, doubted that terms left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to be settled by one of the parties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bind,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Perhaps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excepting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subsidiary matters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which conditions deciding whether Rocky lends, not how, arguably exceed.</w:t>
      </w:r>
      <w:r>
        <w:rPr>
          <w:rStyle w:val="FootnoteReference"/>
          <w:rFonts w:ascii="Times New Roman" w:hAnsi="Times New Roman"/>
          <w:sz w:val="24"/>
        </w:rPr>
        <w:footnoteReference w:id="37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promise is therefore arguably illusory.</w:t>
      </w:r>
    </w:p>
    <w:bookmarkEnd w:id="38"/>
    <w:bookmarkStart w:id="45" w:name="f.-privity"/>
    <w:p>
      <w:pPr>
        <w:pStyle w:val="Heading3"/>
      </w:pPr>
      <w:r>
        <w:rPr>
          <w:rFonts w:ascii="Times New Roman" w:hAnsi="Times New Roman"/>
        </w:rPr>
        <w:t xml:space="preserve">F. Privity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Even if the email bound, AMPL was Rocky’s agent only if it contracted for him, not solely for itself:</w:t>
      </w:r>
      <w:r>
        <w:rPr>
          <w:rStyle w:val="FootnoteReference"/>
          <w:rFonts w:ascii="Times New Roman" w:hAnsi="Times New Roman"/>
          <w:sz w:val="24"/>
        </w:rPr>
        <w:footnoteReference w:id="3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though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Rocky asked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AMPL lent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$1,150,000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not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$1 million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and took his guarantee, so Rocky lent nothing.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Only a party can enforce a contract, and only if he provided consideration;</w:t>
      </w:r>
      <w:r>
        <w:rPr>
          <w:rStyle w:val="FootnoteReference"/>
          <w:rFonts w:ascii="Times New Roman" w:hAnsi="Times New Roman"/>
          <w:sz w:val="24"/>
        </w:rPr>
        <w:footnoteReference w:id="4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whether one is a party turns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the written instrument itself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not signature.</w:t>
      </w:r>
      <w:r>
        <w:rPr>
          <w:rStyle w:val="FootnoteReference"/>
          <w:rFonts w:ascii="Times New Roman" w:hAnsi="Times New Roman"/>
          <w:sz w:val="24"/>
        </w:rPr>
        <w:footnoteReference w:id="4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Mrs Coulls signed, yet the contract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purports expressly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be between her husband and the company;</w:t>
      </w:r>
      <w:r>
        <w:rPr>
          <w:rStyle w:val="FootnoteReference"/>
          <w:rFonts w:ascii="Times New Roman" w:hAnsi="Times New Roman"/>
          <w:sz w:val="24"/>
        </w:rPr>
        <w:footnoteReference w:id="42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likewise AMPL and Grace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entered into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Loan Agreement. Nothing there makes Grace’s promise one to Rocky, so he is no joint promisee.</w:t>
      </w:r>
      <w:r>
        <w:rPr>
          <w:rStyle w:val="FootnoteReference"/>
          <w:rFonts w:ascii="Times New Roman" w:hAnsi="Times New Roman"/>
          <w:sz w:val="24"/>
        </w:rPr>
        <w:footnoteReference w:id="43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Grace’s answer is therefore right, though not because 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never signed anything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and the 5 March demand, arguably premised on 27 February (II.G), fails.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AMPL enforcing its loan, agency failing and no trust or estoppel appearing, nothing circumvents the privity rule.</w:t>
      </w:r>
      <w:r>
        <w:rPr>
          <w:rStyle w:val="FootnoteReference"/>
          <w:rFonts w:ascii="Times New Roman" w:hAnsi="Times New Roman"/>
          <w:sz w:val="24"/>
        </w:rPr>
        <w:footnoteReference w:id="44"/>
      </w:r>
    </w:p>
    <w:bookmarkEnd w:id="45"/>
    <w:bookmarkEnd w:id="46"/>
    <w:bookmarkStart w:id="89" w:name="ii.-rocky-v-ampl-alternatively-pierre"/>
    <w:p>
      <w:pPr>
        <w:pStyle w:val="Heading2"/>
      </w:pPr>
      <w:r>
        <w:rPr>
          <w:rFonts w:ascii="Times New Roman" w:hAnsi="Times New Roman"/>
        </w:rPr>
        <w:t xml:space="preserve">II. ROCKY v AMPL (ALTERNATIVELY PIERRE)</w:t>
      </w:r>
    </w:p>
    <w:bookmarkStart w:id="49" w:name="a.-offer-1"/>
    <w:p>
      <w:pPr>
        <w:pStyle w:val="Heading3"/>
      </w:pPr>
      <w:r>
        <w:rPr>
          <w:rFonts w:ascii="Times New Roman" w:hAnsi="Times New Roman"/>
        </w:rPr>
        <w:t xml:space="preserve">A. Offer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What Pierre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expected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proposed nothing Rocky could accept, so it was likely an invitation to treat;</w:t>
      </w:r>
      <w:r>
        <w:rPr>
          <w:rStyle w:val="FootnoteReference"/>
          <w:rFonts w:ascii="Times New Roman" w:hAnsi="Times New Roman"/>
          <w:sz w:val="24"/>
        </w:rPr>
        <w:footnoteReference w:id="47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Rocky’s reply,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if you also promise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sought a return promise, so he offered a bilateral contract.</w:t>
      </w:r>
      <w:r>
        <w:rPr>
          <w:rStyle w:val="FootnoteReference"/>
          <w:rFonts w:ascii="Times New Roman" w:hAnsi="Times New Roman"/>
          <w:sz w:val="24"/>
        </w:rPr>
        <w:footnoteReference w:id="48"/>
      </w:r>
    </w:p>
    <w:bookmarkEnd w:id="49"/>
    <w:bookmarkStart w:id="53" w:name="b.-acceptance-1"/>
    <w:p>
      <w:pPr>
        <w:pStyle w:val="Heading3"/>
      </w:pPr>
      <w:r>
        <w:rPr>
          <w:rFonts w:ascii="Times New Roman" w:hAnsi="Times New Roman"/>
        </w:rPr>
        <w:t xml:space="preserve">B. Acceptance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Pierre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agreed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manifesting assent to Rocky’s offer, so he accepted for whomever he represented.</w:t>
      </w:r>
      <w:r>
        <w:rPr>
          <w:rStyle w:val="FootnoteReference"/>
          <w:rFonts w:ascii="Times New Roman" w:hAnsi="Times New Roman"/>
          <w:sz w:val="24"/>
        </w:rPr>
        <w:footnoteReference w:id="5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 would say nothing bound until execution; yet, as Lord Greene MR said of exchanges of contracts, parties are bound when and how they contemplate:</w:t>
      </w:r>
      <w:r>
        <w:rPr>
          <w:rStyle w:val="FootnoteReference"/>
          <w:rFonts w:ascii="Times New Roman" w:hAnsi="Times New Roman"/>
          <w:sz w:val="24"/>
        </w:rPr>
        <w:footnoteReference w:id="5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nothing required a document or reserved a right to withdraw.</w:t>
      </w:r>
      <w:r>
        <w:rPr>
          <w:rStyle w:val="FootnoteReference"/>
          <w:rFonts w:ascii="Times New Roman" w:hAnsi="Times New Roman"/>
          <w:sz w:val="24"/>
        </w:rPr>
        <w:footnoteReference w:id="52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Both promises therefore likely bind.</w:t>
      </w:r>
    </w:p>
    <w:bookmarkEnd w:id="53"/>
    <w:bookmarkStart w:id="61" w:name="c.-consideration-1"/>
    <w:p>
      <w:pPr>
        <w:pStyle w:val="Heading3"/>
      </w:pPr>
      <w:r>
        <w:rPr>
          <w:rFonts w:ascii="Times New Roman" w:hAnsi="Times New Roman"/>
        </w:rPr>
        <w:t xml:space="preserve">C. Consideration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The $10,000 promise, sought by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if you also promise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priced Rocky’s undertaking,</w:t>
      </w:r>
      <w:r>
        <w:rPr>
          <w:rStyle w:val="FootnoteReference"/>
          <w:rFonts w:ascii="Times New Roman" w:hAnsi="Times New Roman"/>
          <w:sz w:val="24"/>
        </w:rPr>
        <w:footnoteReference w:id="54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which moved from him as promisee;</w:t>
      </w:r>
      <w:r>
        <w:rPr>
          <w:rStyle w:val="FootnoteReference"/>
          <w:rFonts w:ascii="Times New Roman" w:hAnsi="Times New Roman"/>
          <w:sz w:val="24"/>
        </w:rPr>
        <w:footnoteReference w:id="5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if Pierre promised, Rocky’s detriment likely suffices, though AMPL benefits.</w:t>
      </w:r>
      <w:r>
        <w:rPr>
          <w:rStyle w:val="FootnoteReference"/>
          <w:rFonts w:ascii="Times New Roman" w:hAnsi="Times New Roman"/>
          <w:sz w:val="24"/>
        </w:rPr>
        <w:footnoteReference w:id="56"/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The existing legal duty rule applies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 least when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party to a pre-existing contract promises the promisee under it no more than it requires.</w:t>
      </w:r>
      <w:r>
        <w:rPr>
          <w:rStyle w:val="FootnoteReference"/>
          <w:rFonts w:ascii="Times New Roman" w:hAnsi="Times New Roman"/>
          <w:sz w:val="24"/>
        </w:rPr>
        <w:footnoteReference w:id="57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 would say that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also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its clause show a guarantee already given; as 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Sundell</w:t>
      </w:r>
      <w:r>
        <w:rPr>
          <w:rFonts w:ascii="Times New Roman" w:hAnsi="Times New Roman"/>
          <w:sz w:val="24"/>
        </w:rPr>
        <w:t xml:space="preserve">, a promise to ensure performance already owed is no consideration.</w:t>
      </w:r>
      <w:r>
        <w:rPr>
          <w:rStyle w:val="FootnoteReference"/>
          <w:rFonts w:ascii="Times New Roman" w:hAnsi="Times New Roman"/>
          <w:sz w:val="24"/>
        </w:rPr>
        <w:footnoteReference w:id="58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Yet no earlier promise binds Rocky: his 27 February request did not itself establish a contract,</w:t>
      </w:r>
      <w:r>
        <w:rPr>
          <w:rStyle w:val="FootnoteReference"/>
          <w:rFonts w:ascii="Times New Roman" w:hAnsi="Times New Roman"/>
          <w:sz w:val="24"/>
        </w:rPr>
        <w:footnoteReference w:id="5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the clause was arguably included after Pierre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agreed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If Pierre promised, even a promise to him to perform a duty owed to a third party, AMPL, can be consideration.</w:t>
      </w:r>
      <w:r>
        <w:rPr>
          <w:rStyle w:val="FootnoteReference"/>
          <w:rFonts w:ascii="Times New Roman" w:hAnsi="Times New Roman"/>
          <w:sz w:val="24"/>
        </w:rPr>
        <w:footnoteReference w:id="6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Ensuring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all payments … promptly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exceeds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repayment of the Loan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so Rocky likely gave consideration, though an earlier clause would favour AMPL.</w:t>
      </w:r>
    </w:p>
    <w:bookmarkEnd w:id="61"/>
    <w:bookmarkStart w:id="64" w:name="d.-intention-to-create-legal-relations-1"/>
    <w:p>
      <w:pPr>
        <w:pStyle w:val="Heading3"/>
      </w:pPr>
      <w:r>
        <w:rPr>
          <w:rFonts w:ascii="Times New Roman" w:hAnsi="Times New Roman"/>
        </w:rPr>
        <w:t xml:space="preserve">D. Intention to create legal relations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No presumption governs cousins; Rocky bears the onus.</w:t>
      </w:r>
      <w:r>
        <w:rPr>
          <w:rStyle w:val="FootnoteReference"/>
          <w:rFonts w:ascii="Times New Roman" w:hAnsi="Times New Roman"/>
          <w:sz w:val="24"/>
        </w:rPr>
        <w:footnoteReference w:id="62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Against intention, the undertaking resembles a letter of comfort, which 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Banque Brussels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conditioned the facility it was made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to induce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</w:t>
      </w:r>
      <w:r>
        <w:rPr>
          <w:rStyle w:val="FootnoteReference"/>
          <w:rFonts w:ascii="Times New Roman" w:hAnsi="Times New Roman"/>
          <w:sz w:val="24"/>
        </w:rPr>
        <w:footnoteReference w:id="63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whereas AMPL had already advanced. Yet the undertaking was priced 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$10,000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given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 AMPL’s office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Intention is therefore likely present on both sides, the price outweighing cousinhood even if Pierre promised.</w:t>
      </w:r>
    </w:p>
    <w:bookmarkEnd w:id="64"/>
    <w:bookmarkStart w:id="67" w:name="e.-certainty-1"/>
    <w:p>
      <w:pPr>
        <w:pStyle w:val="Heading3"/>
      </w:pPr>
      <w:r>
        <w:rPr>
          <w:rFonts w:ascii="Times New Roman" w:hAnsi="Times New Roman"/>
        </w:rPr>
        <w:t xml:space="preserve">E. Certainty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Ensuring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all payments … promptly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measured by the loan’s timetable, is not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so obscure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that no intention can be attributed.</w:t>
      </w:r>
      <w:r>
        <w:rPr>
          <w:rStyle w:val="FootnoteReference"/>
          <w:rFonts w:ascii="Times New Roman" w:hAnsi="Times New Roman"/>
          <w:sz w:val="24"/>
        </w:rPr>
        <w:footnoteReference w:id="6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AMPL’s promise, depending on Grace’s repayment, not its choice, is not illusory.</w:t>
      </w:r>
      <w:r>
        <w:rPr>
          <w:rStyle w:val="FootnoteReference"/>
          <w:rFonts w:ascii="Times New Roman" w:hAnsi="Times New Roman"/>
          <w:sz w:val="24"/>
        </w:rPr>
        <w:footnoteReference w:id="66"/>
      </w:r>
    </w:p>
    <w:bookmarkEnd w:id="67"/>
    <w:bookmarkStart w:id="70" w:name="f.-privity-1"/>
    <w:p>
      <w:pPr>
        <w:pStyle w:val="Heading3"/>
      </w:pPr>
      <w:r>
        <w:rPr>
          <w:rFonts w:ascii="Times New Roman" w:hAnsi="Times New Roman"/>
        </w:rPr>
        <w:t xml:space="preserve">F. Privity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Rocky, the promisee and payee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to me directly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gave consideration, so privity does not bar him.</w:t>
      </w:r>
      <w:r>
        <w:rPr>
          <w:rStyle w:val="FootnoteReference"/>
          <w:rFonts w:ascii="Times New Roman" w:hAnsi="Times New Roman"/>
          <w:sz w:val="24"/>
        </w:rPr>
        <w:footnoteReference w:id="68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included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clause most naturally means the guarantee clause named before it; even a written $10,000 term would leave him the oral promise.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Who promised turns on the doctrine of agency: whether Pierre, with AMPL’s authority or ratification, contracted for it, not solely for himself.</w:t>
      </w:r>
      <w:r>
        <w:rPr>
          <w:rStyle w:val="FootnoteReference"/>
          <w:rFonts w:ascii="Times New Roman" w:hAnsi="Times New Roman"/>
          <w:sz w:val="24"/>
        </w:rPr>
        <w:footnoteReference w:id="6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owned and controlled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by Pierre, likely authorised him; his contracting for it is contested: Rocky asked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you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also promise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Yet Pierre spoke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 AMPL’s office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about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payments under the Loan Agreement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and AMPL called under the guarantee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provided by Rocky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arguably his undertaking. On balance, AMPL likely promised, though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you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keeps Pierre’s promise arguable, which proof that he disclaimed acting for AMPL would establish.</w:t>
      </w:r>
    </w:p>
    <w:bookmarkEnd w:id="70"/>
    <w:bookmarkStart w:id="73" w:name="g.-construction"/>
    <w:p>
      <w:pPr>
        <w:pStyle w:val="Heading3"/>
      </w:pPr>
      <w:r>
        <w:rPr>
          <w:rFonts w:ascii="Times New Roman" w:hAnsi="Times New Roman"/>
        </w:rPr>
        <w:t xml:space="preserve">G. Construction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12 months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construed objectively: pre-contractual conduct is admissible only if the words are ambiguous, and post-contractual conduct cannot show meaning.</w:t>
      </w:r>
      <w:r>
        <w:rPr>
          <w:rStyle w:val="FootnoteReference"/>
          <w:rFonts w:ascii="Times New Roman" w:hAnsi="Times New Roman"/>
          <w:sz w:val="24"/>
        </w:rPr>
        <w:footnoteReference w:id="7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words are arguably ambiguous: the instrument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recorded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sum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advanced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 27 February, the transaction’s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genesis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72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Although the terms appear first on 8 April,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12 months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attach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the Loan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whose use Grace had from 27 February, so the period likely ran from then, though narrowly, unless the agreement dates it otherwise.</w:t>
      </w:r>
    </w:p>
    <w:bookmarkEnd w:id="73"/>
    <w:bookmarkStart w:id="77" w:name="h.-condition-precedent"/>
    <w:p>
      <w:pPr>
        <w:pStyle w:val="Heading3"/>
      </w:pPr>
      <w:r>
        <w:rPr>
          <w:rFonts w:ascii="Times New Roman" w:hAnsi="Times New Roman"/>
        </w:rPr>
        <w:t xml:space="preserve">H. Condition precedent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The bargain binding at once,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once Grace repays the Loan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conditions AMPL’s obligation, not formation;</w:t>
      </w:r>
      <w:r>
        <w:rPr>
          <w:rStyle w:val="FootnoteReference"/>
          <w:rFonts w:ascii="Times New Roman" w:hAnsi="Times New Roman"/>
          <w:sz w:val="24"/>
        </w:rPr>
        <w:footnoteReference w:id="74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 9 March Grace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had not yet repaid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so nothing was payable. Read literally or commercially, words naming Grace do not cover Rocky’s payment:</w:t>
      </w:r>
      <w:r>
        <w:rPr>
          <w:rStyle w:val="FootnoteReference"/>
          <w:rFonts w:ascii="Times New Roman" w:hAnsi="Times New Roman"/>
          <w:sz w:val="24"/>
        </w:rPr>
        <w:footnoteReference w:id="7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$10,000 falls due on what his undertaking secured, Grace’s repayment. Nor does the duty to co-operate,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to do everything necessary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Rocky’s benefit, assist:</w:t>
      </w:r>
      <w:r>
        <w:rPr>
          <w:rStyle w:val="FootnoteReference"/>
          <w:rFonts w:ascii="Times New Roman" w:hAnsi="Times New Roman"/>
          <w:sz w:val="24"/>
        </w:rPr>
        <w:footnoteReference w:id="76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nothing suggests AMPL’s call prevents Grace repaying. Rocky’s payment therefore likely does not meet the condition.</w:t>
      </w:r>
    </w:p>
    <w:bookmarkEnd w:id="77"/>
    <w:bookmarkStart w:id="88" w:name="i.-privity-ampls-call"/>
    <w:p>
      <w:pPr>
        <w:pStyle w:val="Heading3"/>
      </w:pPr>
      <w:r>
        <w:rPr>
          <w:rFonts w:ascii="Times New Roman" w:hAnsi="Times New Roman"/>
        </w:rPr>
        <w:t xml:space="preserve">I. Privity: AMPL’s call</w:t>
      </w:r>
    </w:p>
    <w:p>
      <w:pPr>
        <w:pStyle w:val="FirstParagraph"/>
      </w:pPr>
      <w:r>
        <w:rPr>
          <w:rFonts w:ascii="Times New Roman" w:hAnsi="Times New Roman"/>
          <w:sz w:val="24"/>
        </w:rPr>
        <w:t xml:space="preserve">Only a contract’s parties are bound by its terms:</w:t>
      </w:r>
      <w:r>
        <w:rPr>
          <w:rStyle w:val="FootnoteReference"/>
          <w:rFonts w:ascii="Times New Roman" w:hAnsi="Times New Roman"/>
          <w:sz w:val="24"/>
        </w:rPr>
        <w:footnoteReference w:id="78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guarantee clause binds Rocky only if he manifested assent,</w:t>
      </w:r>
      <w:r>
        <w:rPr>
          <w:rStyle w:val="FootnoteReference"/>
          <w:rFonts w:ascii="Times New Roman" w:hAnsi="Times New Roman"/>
          <w:sz w:val="24"/>
        </w:rPr>
        <w:footnoteReference w:id="7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signature being neither necessary</w:t>
      </w:r>
      <w:r>
        <w:rPr>
          <w:rStyle w:val="FootnoteReference"/>
          <w:rFonts w:ascii="Times New Roman" w:hAnsi="Times New Roman"/>
          <w:sz w:val="24"/>
        </w:rPr>
        <w:footnoteReference w:id="80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nor decisive.</w:t>
      </w:r>
      <w:r>
        <w:rPr>
          <w:rStyle w:val="FootnoteReference"/>
          <w:rFonts w:ascii="Times New Roman" w:hAnsi="Times New Roman"/>
          <w:sz w:val="24"/>
        </w:rPr>
        <w:footnoteReference w:id="81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I will do that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likely binds him, but to AMPL only if Pierre accepted for it; otherwise AMPL has only the clause.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Rocky promised what Pierre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expected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ensuring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all payments … promptly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whereas the clause concerns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repayment of the Loan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 He likely assented to the clause if,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 reasonable opportunity to reject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he took the benefit of AMPL’s offer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with knowledge of its terms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82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If AMPL promised, its $10,000 promise was arguably that benefit.</w:t>
      </w:r>
      <w:r>
        <w:rPr>
          <w:rStyle w:val="FootnoteReference"/>
          <w:rFonts w:ascii="Times New Roman" w:hAnsi="Times New Roman"/>
          <w:sz w:val="24"/>
        </w:rPr>
        <w:footnoteReference w:id="83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guarantee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provided by Rocky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proves he gave one, not that he knew the clause’s words; having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attended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meeting, he likely assented unless he never saw them, but not if Pierre promised, AMPL conferring no benefit.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If AMPL promised the $10,000, that promise is its consideration. If Pierre promised, AMPL’s advance was past consideration,</w:t>
      </w:r>
      <w:r>
        <w:rPr>
          <w:rStyle w:val="FootnoteReference"/>
          <w:rFonts w:ascii="Times New Roman" w:hAnsi="Times New Roman"/>
          <w:sz w:val="24"/>
        </w:rPr>
        <w:footnoteReference w:id="84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sufficing under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Pao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only if, besides Rocky’s request, the parties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understood that the act was to be remunerated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85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Nothing shows that understanding on 27 February, whereas in</w:t>
      </w:r>
      <w:r>
        <w:rPr>
          <w:rFonts w:ascii="Times New Roman" w:hAnsi="Times New Roman"/>
          <w:sz w:val="24"/>
        </w:rPr>
        <w:t xml:space="preserve"> </w:t>
      </w:r>
      <w:r>
        <w:rPr>
          <w:iCs/>
          <w:rFonts w:ascii="Times New Roman" w:hAnsi="Times New Roman"/>
          <w:i/>
          <w:sz w:val="24"/>
        </w:rPr>
        <w:t xml:space="preserve">Pao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it existed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at the time of the main agreement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.</w:t>
      </w:r>
      <w:r>
        <w:rPr>
          <w:rStyle w:val="FootnoteReference"/>
          <w:rFonts w:ascii="Times New Roman" w:hAnsi="Times New Roman"/>
          <w:sz w:val="24"/>
        </w:rPr>
        <w:footnoteReference w:id="86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AMPL would rely on entering the Loan Agreement, the clause included; yet Rocky priced his undertaking 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$10,000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not that entry,</w:t>
      </w:r>
      <w:r>
        <w:rPr>
          <w:rStyle w:val="FootnoteReference"/>
          <w:rFonts w:ascii="Times New Roman" w:hAnsi="Times New Roman"/>
          <w:sz w:val="24"/>
        </w:rPr>
        <w:footnoteReference w:id="87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so AMPL likely gave no consideration.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As the 12 months likely ran from 27 February, the call was not premature; if from 8 April, it was premature as to principal. Nothing shows interest paid after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‘</w:t>
      </w:r>
      <w:r>
        <w:rPr>
          <w:rFonts w:ascii="Times New Roman" w:hAnsi="Times New Roman"/>
          <w:sz w:val="24"/>
        </w:rPr>
        <w:t xml:space="preserve">8 February 2025</w:t>
      </w:r>
      <w:r>
        <w:rPr>
          <w:rFonts w:ascii="Times New Roman" w:hAnsi="Times New Roman"/>
          <w:sz w:val="24"/>
        </w:rPr>
        <w:t xml:space="preserve">’</w:t>
      </w:r>
      <w:r>
        <w:rPr>
          <w:rFonts w:ascii="Times New Roman" w:hAnsi="Times New Roman"/>
          <w:sz w:val="24"/>
        </w:rPr>
        <w:t xml:space="preserve">, so a March default is arguable. If AMPL promised, Rocky likely owes AMPL on his undertaking when Grace defaults and, paying, loses the $10,000; if Pierre promised, AMPL’s call, lacking consideration, likely fails, and Rocky claims against Pierre and is likely liable to him.</w:t>
      </w:r>
    </w:p>
    <w:p>
      <w:pPr>
        <w:pStyle w:val="BodyText"/>
      </w:pPr>
      <w:r>
        <w:rPr>
          <w:rFonts w:ascii="Times New Roman" w:hAnsi="Times New Roman"/>
          <w:sz w:val="24"/>
        </w:rPr>
        <w:t xml:space="preserve">Word count: 1,498</w:t>
      </w:r>
    </w:p>
    <w:bookmarkEnd w:id="88"/>
    <w:bookmarkEnd w:id="89"/>
    <w:sectPr>
      <w:headerReference w:type="default" r:id="rId9"/>
      <w:footerReference w:type="default" r:id="rId10"/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ascii="Times New Roman" w:hAnsi="Times New Roman" w:cs="Times New Roman"/>
        </w:rPr>
        <w:continuationSeparator/>
      </w:r>
    </w:p>
  </w:footnote>
  <w:footnote w:type="separator" w:id="-1">
    <w:p>
      <w:r>
        <w:rPr>
          <w:rFonts w:ascii="Times New Roman" w:hAnsi="Times New Roman" w:cs="Times New Roman"/>
        </w:rPr>
        <w:separator/>
      </w:r>
    </w:p>
  </w:footnote>
  <w:footnote w:id="2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Gibson v Manchester City Council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[1979] 1 WLR 294, 298 (Lord Diplock)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Gibson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2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Ibid.</w:t>
      </w:r>
    </w:p>
  </w:footnote>
  <w:footnote w:id="2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Empirnall Holdings Pty Ltd v Machon Paull Partners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(1988) 14 NSWLR 523, 534 (McHugh JA)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Empirnall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2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Beaton v McDivitt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(1987) 13 NSWLR 162, 168 (Kirby P)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Beaton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2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Ibid.</w:t>
      </w:r>
    </w:p>
  </w:footnote>
  <w:footnote w:id="2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Ermogenous v Greek Orthodox Community of SA Inc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(2002) 209 CLR 95, [25]–[26] (Gaudron, McHugh, Hayne and Callinan JJ)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Ermogenous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2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Masters v Cameron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(1954) 91 CLR 353, 360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Masters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3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363,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Winn v Bull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(1877) 7 Ch D 29, 32 (Jessel MR).</w:t>
      </w:r>
    </w:p>
  </w:footnote>
  <w:footnote w:id="3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Masters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7) 361, discussing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Niesmann v Collingridge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(1921) 29 CLR 177.</w:t>
      </w:r>
    </w:p>
  </w:footnote>
  <w:footnote w:id="3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Biotechnology Australia Pty Ltd v Pace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(1988) 15 NSWLR 130, 151 (McHugh JA)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Pace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3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Meehan v Jones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(1982) 149 CLR 571, 580–1 (Gibbs CJ)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Meehan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3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Pace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10) 151 (McHugh JA).</w:t>
      </w:r>
    </w:p>
  </w:footnote>
  <w:footnote w:id="3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Meehan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11) 588–90 (Mason J).</w:t>
      </w:r>
    </w:p>
  </w:footnote>
  <w:footnote w:id="37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Godecke v Kirwan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(1973) 129 CLR 629, 646–7 (Gibbs J).</w:t>
      </w:r>
    </w:p>
  </w:footnote>
  <w:footnote w:id="3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Port Jackson Stevedoring Pty Ltd v Salmond &amp; Spraggon (Aust)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(1978) 139 CLR 231, 269 (Mason and Jacobs JJ)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Port Jackson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Scruttons Ltd v Midland Silicones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[1962] AC 446, 474 (Lord Reid).</w:t>
      </w:r>
    </w:p>
  </w:footnote>
  <w:footnote w:id="4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Coulls v Bagot’s Executor &amp; Trustee Co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(1967) 119 CLR 460, 494–5 (Windeyer J dissenting)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Coulls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4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487 (Taylor and Owen JJ).</w:t>
      </w:r>
    </w:p>
  </w:footnote>
  <w:footnote w:id="42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486.</w:t>
      </w:r>
    </w:p>
  </w:footnote>
  <w:footnote w:id="4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486–7.</w:t>
      </w:r>
    </w:p>
  </w:footnote>
  <w:footnote w:id="4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Trident General Insurance Co Ltd v McNiece Bros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(1988) 165 CLR 107 (Brennan J dissenting)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Trident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47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Gibson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1) 298 (Lord Diplock).</w:t>
      </w:r>
    </w:p>
  </w:footnote>
  <w:footnote w:id="4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Brambles Holdings Ltd v Bathurst City Council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(2001) 53 NSWLR 153, 177 (Heydon JA)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Brambles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Integrated Computer Services Pty Ltd v Digital Equipment Corp (Aust)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(1988) 5 BPR 11,110, 11,117–18 (McHugh JA).</w:t>
      </w:r>
    </w:p>
  </w:footnote>
  <w:footnote w:id="5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Empirnall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3) 534 (McHugh JA).</w:t>
      </w:r>
    </w:p>
  </w:footnote>
  <w:footnote w:id="5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Brambles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22) 176 (Heydon JA),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Eccles v Bryant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[1948] Ch 93, 104 (Lord Greene MR).</w:t>
      </w:r>
    </w:p>
  </w:footnote>
  <w:footnote w:id="52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Masters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7) 361.</w:t>
      </w:r>
    </w:p>
  </w:footnote>
  <w:footnote w:id="5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Australian Woollen Mills Pty Ltd v Commonwealth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(1954) 92 CLR 424, 456–7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Australian Woollen Mills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5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Beaton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4) 181 (McHugh JA),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Thomas v Thomas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(1842) 2 QB 851, 859; 114 ER 330, 333–4 (Patteson J).</w:t>
      </w:r>
    </w:p>
  </w:footnote>
  <w:footnote w:id="5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Musumeci v Winadell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(1994) 34 NSWLR 723, 745 (Santow J).</w:t>
      </w:r>
    </w:p>
  </w:footnote>
  <w:footnote w:id="57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Wigan v Edwards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(1973) 47 ALJR 586, 594 (Mason J).</w:t>
      </w:r>
    </w:p>
  </w:footnote>
  <w:footnote w:id="5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TA Sundell &amp; Sons Pty Ltd v Emm Yannoulatos (Overseas)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(1955) 56 SR (NSW) 323, 327.</w:t>
      </w:r>
    </w:p>
  </w:footnote>
  <w:footnote w:id="5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Australian Woollen Mills Pty Ltd v Commonwealth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(1955) 93 CLR 546, 550.</w:t>
      </w:r>
    </w:p>
  </w:footnote>
  <w:footnote w:id="6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Pao On v Lau Yiu Long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[1980] AC 614, 632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Pao On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).</w:t>
      </w:r>
    </w:p>
  </w:footnote>
  <w:footnote w:id="62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Ermogenous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6) [26] (Gaudron, McHugh, Hayne and Callinan JJ).</w:t>
      </w:r>
    </w:p>
  </w:footnote>
  <w:footnote w:id="6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Banque Brussels Lambert SA v Australian National Industries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(1989) 21 NSWLR 502, 521–3 (Rogers CJ).</w:t>
      </w:r>
    </w:p>
  </w:footnote>
  <w:footnote w:id="6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Council of the Upper Hunter County District v Australian Chilling and Freezing Co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(1968) 118 CLR 429, 437 (Barwick CJ) (</w:t>
      </w:r>
      <w:r>
        <w:rPr>
          <w:rFonts w:ascii="Times New Roman" w:hAnsi="Times New Roman" w:cs="Times New Roman"/>
        </w:rPr>
        <w:t xml:space="preserve">‘</w:t>
      </w:r>
      <w:r>
        <w:rPr>
          <w:iCs/>
          <w:i/>
          <w:rFonts w:ascii="Times New Roman" w:hAnsi="Times New Roman" w:cs="Times New Roman"/>
        </w:rPr>
        <w:t xml:space="preserve">Upper Hunter</w:t>
      </w:r>
      <w:r>
        <w:rPr>
          <w:rFonts w:ascii="Times New Roman" w:hAnsi="Times New Roman" w:cs="Times New Roman"/>
        </w:rPr>
        <w:t xml:space="preserve">’</w:t>
      </w:r>
      <w:r>
        <w:rPr>
          <w:rFonts w:ascii="Times New Roman" w:hAnsi="Times New Roman" w:cs="Times New Roman"/>
        </w:rPr>
        <w:t xml:space="preserve">), quoting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G Scammell &amp; Nephew Ltd v Ouston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[1941] AC 251, 268 (Lord Wright).</w:t>
      </w:r>
    </w:p>
  </w:footnote>
  <w:footnote w:id="6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Meehan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11) 581–2 (Gibbs CJ).</w:t>
      </w:r>
    </w:p>
  </w:footnote>
  <w:footnote w:id="6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Coulls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16) 494–5 (Windeyer J dissenting).</w:t>
      </w:r>
    </w:p>
  </w:footnote>
  <w:footnote w:id="6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Port Jackson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15) 269 (Mason and Jacobs JJ).</w:t>
      </w:r>
    </w:p>
  </w:footnote>
  <w:footnote w:id="7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Brambles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22) 163–4, 167–8 (Heydon JA).</w:t>
      </w:r>
    </w:p>
  </w:footnote>
  <w:footnote w:id="72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191 (Ipp AJA).</w:t>
      </w:r>
    </w:p>
  </w:footnote>
  <w:footnote w:id="7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Meehan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11) 582 (Gibbs CJ).</w:t>
      </w:r>
    </w:p>
  </w:footnote>
  <w:footnote w:id="7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Upper Hunter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35) 437 (Barwick CJ).</w:t>
      </w:r>
    </w:p>
  </w:footnote>
  <w:footnote w:id="7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Beaton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4) 185 (McHugh JA), citing</w:t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Secured Income Real Estate (Aust) Ltd v St Martins Investments Pty Ltd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(1979) 144 CLR 596, 607 (Mason J).</w:t>
      </w:r>
    </w:p>
  </w:footnote>
  <w:footnote w:id="78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Trident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20) (Deane J).</w:t>
      </w:r>
    </w:p>
  </w:footnote>
  <w:footnote w:id="79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Empirnall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3) 534 (McHugh JA).</w:t>
      </w:r>
    </w:p>
  </w:footnote>
  <w:footnote w:id="80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 536.</w:t>
      </w:r>
    </w:p>
  </w:footnote>
  <w:footnote w:id="81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Coulls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16) 487 (Taylor and Owen JJ).</w:t>
      </w:r>
    </w:p>
  </w:footnote>
  <w:footnote w:id="82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Empirnall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3) 535–6 (McHugh JA).</w:t>
      </w:r>
    </w:p>
  </w:footnote>
  <w:footnote w:id="83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Brambles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22) 179 (Heydon JA).</w:t>
      </w:r>
    </w:p>
  </w:footnote>
  <w:footnote w:id="84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Roscorla v Thomas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(1842) 3 QB 234, 237; 114 ER 496.</w:t>
      </w:r>
    </w:p>
  </w:footnote>
  <w:footnote w:id="85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Pao 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32) 629–30.</w:t>
      </w:r>
    </w:p>
  </w:footnote>
  <w:footnote w:id="86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Ibid.</w:t>
      </w:r>
    </w:p>
  </w:footnote>
  <w:footnote w:id="87">
    <w:p>
      <w:pPr>
        <w:pStyle w:val="FootnoteText"/>
      </w:pPr>
      <w:r>
        <w:rPr>
          <w:rStyle w:val="FootnoteReference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</w:t>
      </w:r>
      <w:r>
        <w:rPr>
          <w:iCs/>
          <w:i/>
          <w:rFonts w:ascii="Times New Roman" w:hAnsi="Times New Roman" w:cs="Times New Roman"/>
        </w:rPr>
        <w:t xml:space="preserve">Australian Woollen Mills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(n 26) 456–7.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A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  <w:ind w:firstLine="720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  <w:ind w:firstLine="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480" w:lineRule="auto"/>
    </w:pPr>
    <w:rPr>
      <w:rFonts w:ascii="Times New Roman" w:hAnsi="Times New Roman" w:cs="Times New Roman" w:eastAsia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cs="Times New Roman" w:eastAsia="Times New Roman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0" w:line="480" w:lineRule="auto"/>
    </w:pPr>
    <w:rPr>
      <w:color w:val="000000"/>
      <w:sz w:val="24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480" w:lineRule="auto"/>
    </w:pPr>
    <w:rPr>
      <w:rFonts w:ascii="Times New Roman" w:hAnsi="Times New Roman" w:cs="Times New Roman" w:eastAsia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0" w:line="480" w:lineRule="auto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4"/>
    </w:pPr>
    <w:rPr>
      <w:rFonts w:ascii="Times New Roman" w:hAnsi="Times New Roman" w:cs="Times New Roman" w:eastAsia="Times New Roman"/>
      <w:b/>
      <w:i w:val="0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5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6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7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0" w:line="480" w:lineRule="auto"/>
      <w:outlineLvl w:val="8"/>
    </w:pPr>
    <w:rPr>
      <w:rFonts w:ascii="Times New Roman" w:hAnsi="Times New Roman" w:cs="Times New Roman" w:eastAsia="Times New Roman"/>
      <w:b/>
      <w:i w:val="0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480" w:lineRule="auto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40" w:lineRule="auto" w:after="0"/>
    </w:pPr>
    <w:rPr>
      <w:rFonts w:ascii="Times New Roman" w:hAnsi="Times New Roman" w:cs="Times New Roman" w:eastAsia="Times New Roman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line="480" w:lineRule="auto" w:before="0"/>
    </w:pPr>
    <w:rPr>
      <w:rFonts w:ascii="Times New Roman" w:hAnsi="Times New Roman" w:cs="Times New Roman" w:eastAsia="Times New Roman"/>
      <w:b/>
      <w:color w:val="000000"/>
      <w:sz w:val="24"/>
    </w:rPr>
  </w:style>
  <w:style w:customStyle="1" w:styleId="Definition" w:type="paragraph">
    <w:name w:val="Definition"/>
    <w:basedOn w:val="Normal"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styleId="Caption" w:type="paragraph">
    <w:name w:val="Caption"/>
    <w:basedOn w:val="Normal"/>
    <w:link w:val="BodyTextChar"/>
    <w:pPr>
      <w:spacing w:after="0" w:before="0" w:line="480" w:lineRule="auto"/>
    </w:pPr>
    <w:rPr>
      <w:rFonts w:ascii="Times New Roman" w:hAnsi="Times New Roman" w:cs="Times New Roman" w:eastAsia="Times New Roman"/>
      <w:i/>
      <w:color w:val="000000"/>
      <w:sz w:val="24"/>
    </w:rPr>
  </w:style>
  <w:style w:customStyle="1" w:styleId="TableCaption" w:type="paragraph">
    <w:name w:val="Table Caption"/>
    <w:basedOn w:val="Caption"/>
    <w:pPr>
      <w:keepNext/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customStyle="1" w:styleId="ImageCaption" w:type="paragraph">
    <w:name w:val="Image Caption"/>
    <w:basedOn w:val="Caption"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customStyle="1" w:styleId="Figure" w:type="paragraph">
    <w:name w:val="Figure"/>
    <w:basedOn w:val="Normal"/>
    <w:pPr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customStyle="1" w:styleId="CaptionedFigure" w:type="paragraph">
    <w:name w:val="Captioned Figure"/>
    <w:basedOn w:val="Figure"/>
    <w:pPr>
      <w:keepNext/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Times New Roman" w:hAnsi="Times New Roman" w:cs="Times New Roman" w:eastAsia="Times New Roman"/>
      <w:color w:val="000000"/>
      <w:sz w:val="20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 w:eastAsia="Times New Roman"/>
      <w:color w:val="000000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480" w:lineRule="auto" w:after="0"/>
      <w:outlineLvl w:val="9"/>
    </w:pPr>
    <w:rPr>
      <w:rFonts w:ascii="Times New Roman" w:hAnsi="Times New Roman" w:cs="Times New Roman" w:eastAsia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480" w:lineRule="auto" w:before="0" w:after="0"/>
    </w:pPr>
    <w:rPr>
      <w:rFonts w:ascii="Times New Roman" w:hAnsi="Times New Roman" w:cs="Times New Roman" w:eastAsia="Times New Roman"/>
      <w:color w:val="000000"/>
      <w:sz w:val="24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2026-10-11T06:58:16Z</dcterms:created>
  <dcterms:modified xsi:type="dcterms:W3CDTF">2026-10-11T06:58:16Z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