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sz w:val="24"/>
        </w:rPr>
        <w:t xml:space="preserve">Nothing shows Grace promised to reimburse Rocky for paying AMPL;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legally binding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Development Agreement entitles Rocky to repayment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the Project made a profit</w:t>
      </w:r>
      <w:r>
        <w:rPr>
          <w:rFonts w:ascii="Times New Roman" w:hAnsi="Times New Roman"/>
          <w:sz w:val="24"/>
        </w:rPr>
        <w:t xml:space="preserve">’</w:t>
      </w:r>
      <w:r>
        <w:rPr>
          <w:rFonts w:ascii="Times New Roman" w:hAnsi="Times New Roman"/>
          <w:sz w:val="24"/>
        </w:rPr>
        <w:t xml:space="preserve">, not yet shown.</w:t>
      </w:r>
    </w:p>
    <w:bookmarkStart w:id="46" w:name="i.-rocky-v-grace"/>
    <w:p>
      <w:pPr>
        <w:pStyle w:val="Heading2"/>
      </w:pPr>
      <w:r>
        <w:rPr>
          <w:rFonts w:ascii="Times New Roman" w:hAnsi="Times New Roman"/>
        </w:rPr>
        <w:t xml:space="preserve">I. ROCKY v GRACE</w:t>
      </w:r>
    </w:p>
    <w:bookmarkStart w:id="22" w:name="a.-offer"/>
    <w:p>
      <w:pPr>
        <w:pStyle w:val="Heading3"/>
      </w:pPr>
      <w:r>
        <w:rPr>
          <w:rFonts w:ascii="Times New Roman" w:hAnsi="Times New Roman"/>
        </w:rPr>
        <w:t xml:space="preserve">A. Offer</w:t>
      </w:r>
    </w:p>
    <w:p>
      <w:pPr>
        <w:pStyle w:val="FirstParagraph"/>
      </w:pPr>
      <w:r>
        <w:rPr>
          <w:rFonts w:ascii="Times New Roman" w:hAnsi="Times New Roman"/>
          <w:sz w:val="24"/>
        </w:rPr>
        <w:t xml:space="preserve">Grace’s call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proposed that Rocky offer</w:t>
      </w:r>
      <w:r>
        <w:rPr>
          <w:rFonts w:ascii="Times New Roman" w:hAnsi="Times New Roman"/>
          <w:sz w:val="24"/>
        </w:rPr>
        <w:t xml:space="preserve">’</w:t>
      </w:r>
      <w:r>
        <w:rPr>
          <w:rFonts w:ascii="Times New Roman" w:hAnsi="Times New Roman"/>
          <w:sz w:val="24"/>
        </w:rPr>
        <w:t xml:space="preserve">, an invitation to treat; the email’s later bullets,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Potential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wait and see</w:t>
      </w:r>
      <w:r>
        <w:rPr>
          <w:rFonts w:ascii="Times New Roman" w:hAnsi="Times New Roman"/>
          <w:sz w:val="24"/>
        </w:rPr>
        <w:t xml:space="preserve">’</w:t>
      </w:r>
      <w:r>
        <w:rPr>
          <w:rFonts w:ascii="Times New Roman" w:hAnsi="Times New Roman"/>
          <w:sz w:val="24"/>
        </w:rPr>
        <w:t xml:space="preserve">, promise nothing.</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’s mortgage paragraph might read as a firm offer without its disclaimer,</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may be such a disclaimer; intention and certainty decide this. Yet, on construction,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unlike</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 sought assent,</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so bullet 1 is likely an offer in form.</w:t>
      </w:r>
    </w:p>
    <w:bookmarkEnd w:id="22"/>
    <w:bookmarkStart w:id="24" w:name="b.-acceptance"/>
    <w:p>
      <w:pPr>
        <w:pStyle w:val="Heading3"/>
      </w:pPr>
      <w:r>
        <w:rPr>
          <w:rFonts w:ascii="Times New Roman" w:hAnsi="Times New Roman"/>
        </w:rPr>
        <w:t xml:space="preserve">B. Acceptance</w:t>
      </w:r>
    </w:p>
    <w:p>
      <w:pPr>
        <w:pStyle w:val="FirstParagraph"/>
      </w:pPr>
      <w:r>
        <w:rPr>
          <w:rFonts w:ascii="Times New Roman" w:hAnsi="Times New Roman"/>
          <w:sz w:val="24"/>
        </w:rPr>
        <w:t xml:space="preserve">Acceptance requires an external manifestation of assent:</w:t>
      </w:r>
      <w:r>
        <w:rPr>
          <w:rStyle w:val="FootnoteReference"/>
          <w:rFonts w:ascii="Times New Roman" w:hAnsi="Times New Roman"/>
          <w:sz w:val="24"/>
        </w:rPr>
        <w:footnoteReference w:id="23"/>
      </w:r>
      <w:r>
        <w:rPr>
          <w:rFonts w:ascii="Times New Roman" w:hAnsi="Times New Roman"/>
          <w:sz w:val="24"/>
        </w:rPr>
        <w:t xml:space="preserve"> </w:t>
      </w:r>
      <w:r>
        <w:rPr>
          <w:rFonts w:ascii="Times New Roman" w:hAnsi="Times New Roman"/>
          <w:sz w:val="24"/>
        </w:rPr>
        <w:t xml:space="preserve">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sent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15 minutes later</w:t>
      </w:r>
      <w:r>
        <w:rPr>
          <w:rFonts w:ascii="Times New Roman" w:hAnsi="Times New Roman"/>
          <w:sz w:val="24"/>
        </w:rPr>
        <w:t xml:space="preserve">’</w:t>
      </w:r>
      <w:r>
        <w:rPr>
          <w:rFonts w:ascii="Times New Roman" w:hAnsi="Times New Roman"/>
          <w:sz w:val="24"/>
        </w:rPr>
        <w:t xml:space="preserve">, added nothing, so it was no counter-offer. Grace therefore accepted the offer as made.</w:t>
      </w:r>
    </w:p>
    <w:bookmarkEnd w:id="24"/>
    <w:bookmarkStart w:id="27" w:name="c.-consideration"/>
    <w:p>
      <w:pPr>
        <w:pStyle w:val="Heading3"/>
      </w:pPr>
      <w:r>
        <w:rPr>
          <w:rFonts w:ascii="Times New Roman" w:hAnsi="Times New Roman"/>
        </w:rPr>
        <w:t xml:space="preserve">C. Consideration</w:t>
      </w:r>
    </w:p>
    <w:p>
      <w:pPr>
        <w:pStyle w:val="FirstParagraph"/>
      </w:pPr>
      <w:r>
        <w:rPr>
          <w:rFonts w:ascii="Times New Roman" w:hAnsi="Times New Roman"/>
          <w:sz w:val="24"/>
        </w:rPr>
        <w:t xml:space="preserve">Consideration is a price for the promise:</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Rocky’s promise to lend was, in form, given for Grace’s promise to repay 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5% interest</w:t>
      </w:r>
      <w:r>
        <w:rPr>
          <w:rFonts w:ascii="Times New Roman" w:hAnsi="Times New Roman"/>
          <w:sz w:val="24"/>
        </w:rPr>
        <w:t xml:space="preserve">’</w:t>
      </w:r>
      <w:r>
        <w:rPr>
          <w:rFonts w:ascii="Times New Roman" w:hAnsi="Times New Roman"/>
          <w:sz w:val="24"/>
        </w:rPr>
        <w:t xml:space="preserve">, arguably implied by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Grace’s promises to AMPL were likely given for its promise of</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12 months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4% per annum</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6"/>
      </w:r>
    </w:p>
    <w:bookmarkEnd w:id="27"/>
    <w:bookmarkStart w:id="32" w:name="d.-intention-to-create-legal-relations"/>
    <w:p>
      <w:pPr>
        <w:pStyle w:val="Heading3"/>
      </w:pPr>
      <w:r>
        <w:rPr>
          <w:rFonts w:ascii="Times New Roman" w:hAnsi="Times New Roman"/>
        </w:rPr>
        <w:t xml:space="preserve">D. Intention to create legal relations</w:t>
      </w:r>
    </w:p>
    <w:p>
      <w:pPr>
        <w:pStyle w:val="FirstParagraph"/>
      </w:pPr>
      <w:r>
        <w:rPr>
          <w:rFonts w:ascii="Times New Roman" w:hAnsi="Times New Roman"/>
          <w:sz w:val="24"/>
        </w:rPr>
        <w:t xml:space="preserve">Intention is assessed objectively and Rocky bears the onus, presumptions being doubted; the parties’ status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favours intention.</w:t>
      </w:r>
      <w:r>
        <w:rPr>
          <w:rStyle w:val="FootnoteReference"/>
          <w:rFonts w:ascii="Times New Roman" w:hAnsi="Times New Roman"/>
          <w:sz w:val="24"/>
        </w:rPr>
        <w:footnoteReference w:id="28"/>
      </w:r>
      <w:r>
        <w:rPr>
          <w:rFonts w:ascii="Times New Roman" w:hAnsi="Times New Roman"/>
          <w:sz w:val="24"/>
        </w:rPr>
        <w:t xml:space="preserve"> </w:t>
      </w:r>
      <w:r>
        <w:rPr>
          <w:iCs/>
          <w:rFonts w:ascii="Times New Roman" w:hAnsi="Times New Roman"/>
          <w:i/>
          <w:sz w:val="24"/>
        </w:rPr>
        <w:t xml:space="preserve">Masters</w:t>
      </w:r>
      <w:r>
        <w:rPr>
          <w:rFonts w:ascii="Times New Roman" w:hAnsi="Times New Roman"/>
          <w:sz w:val="24"/>
        </w:rPr>
        <w:t xml:space="preserve">, asking whether a preliminary agreement was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a record of terms</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assumed a formal contract, absent here, so it applies by analogy. Where none is stipulated, the question is whether terms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should be put into form</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or be subject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new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 terms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not expressed in detail</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As in</w:t>
      </w:r>
      <w:r>
        <w:rPr>
          <w:rFonts w:ascii="Times New Roman" w:hAnsi="Times New Roman"/>
          <w:sz w:val="24"/>
        </w:rPr>
        <w:t xml:space="preserve"> </w:t>
      </w:r>
      <w:r>
        <w:rPr>
          <w:iCs/>
          <w:rFonts w:ascii="Times New Roman" w:hAnsi="Times New Roman"/>
          <w:i/>
          <w:sz w:val="24"/>
        </w:rPr>
        <w:t xml:space="preserve">Niesmann</w:t>
      </w:r>
      <w:r>
        <w:rPr>
          <w:rFonts w:ascii="Times New Roman" w:hAnsi="Times New Roman"/>
          <w:sz w:val="24"/>
        </w:rPr>
        <w:t xml:space="preserve">, where signing conditioned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obligation to pay</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settled amount, term and rate; yet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 conditions</w:t>
      </w:r>
      <w:r>
        <w:rPr>
          <w:rFonts w:ascii="Times New Roman" w:hAnsi="Times New Roman"/>
          <w:sz w:val="24"/>
        </w:rPr>
        <w:t xml:space="preserve">’</w:t>
      </w:r>
      <w:r>
        <w:rPr>
          <w:rFonts w:ascii="Times New Roman" w:hAnsi="Times New Roman"/>
          <w:sz w:val="24"/>
        </w:rPr>
        <w:t xml:space="preserve">, those satisfactory to Rocky as lender, arguably remained to be agreed. On balance, the better view is that the parties likely did not intend to be bound, unless those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w:t>
      </w:r>
    </w:p>
    <w:bookmarkEnd w:id="32"/>
    <w:bookmarkStart w:id="38" w:name="e.-certainty"/>
    <w:p>
      <w:pPr>
        <w:pStyle w:val="Heading3"/>
      </w:pPr>
      <w:r>
        <w:rPr>
          <w:rFonts w:ascii="Times New Roman" w:hAnsi="Times New Roman"/>
        </w:rPr>
        <w:t xml:space="preserve">E. Certainty</w:t>
      </w:r>
    </w:p>
    <w:p>
      <w:pPr>
        <w:pStyle w:val="FirstParagraph"/>
      </w:pPr>
      <w:r>
        <w:rPr>
          <w:rFonts w:ascii="Times New Roman" w:hAnsi="Times New Roman"/>
          <w:sz w:val="24"/>
        </w:rPr>
        <w:t xml:space="preserve">Rocky’s promise is illusory if its performance rests on his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unfettered discretion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 terms and conditions</w:t>
      </w:r>
      <w:r>
        <w:rPr>
          <w:rFonts w:ascii="Times New Roman" w:hAnsi="Times New Roman"/>
          <w:sz w:val="24"/>
        </w:rPr>
        <w:t xml:space="preserve">’</w:t>
      </w:r>
      <w:r>
        <w:rPr>
          <w:rFonts w:ascii="Times New Roman" w:hAnsi="Times New Roman"/>
          <w:sz w:val="24"/>
        </w:rPr>
        <w:t xml:space="preserve">, is distinguishable: there the discretion concerned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fulfilment of a condition upon which the contract depends</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Amount, term and rate are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specified parameters</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5"/>
      </w:r>
      <w:r>
        <w:rPr>
          <w:rFonts w:ascii="Times New Roman" w:hAnsi="Times New Roman"/>
          <w:sz w:val="24"/>
        </w:rPr>
        <w:t xml:space="preserve"> </w:t>
      </w:r>
      <w:r>
        <w:rPr>
          <w:rFonts w:ascii="Times New Roman" w:hAnsi="Times New Roman"/>
          <w:sz w:val="24"/>
        </w:rPr>
        <w:t xml:space="preserve">and an implied obligation to act honestly, or honestly and reasonably, would confine Rocky;</w:t>
      </w:r>
      <w:r>
        <w:rPr>
          <w:rStyle w:val="FootnoteReference"/>
          <w:rFonts w:ascii="Times New Roman" w:hAnsi="Times New Roman"/>
          <w:sz w:val="24"/>
        </w:rPr>
        <w:footnoteReference w:id="36"/>
      </w:r>
      <w:r>
        <w:rPr>
          <w:rFonts w:ascii="Times New Roman" w:hAnsi="Times New Roman"/>
          <w:sz w:val="24"/>
        </w:rPr>
        <w:t xml:space="preserve"> </w:t>
      </w:r>
      <w:r>
        <w:rPr>
          <w:rFonts w:ascii="Times New Roman" w:hAnsi="Times New Roman"/>
          <w:sz w:val="24"/>
        </w:rPr>
        <w:t xml:space="preserve">yet the conditions (D) are terms he would set, which honesty cannot supply. In</w:t>
      </w:r>
      <w:r>
        <w:rPr>
          <w:rFonts w:ascii="Times New Roman" w:hAnsi="Times New Roman"/>
          <w:sz w:val="24"/>
        </w:rPr>
        <w:t xml:space="preserve"> </w:t>
      </w:r>
      <w:r>
        <w:rPr>
          <w:iCs/>
          <w:rFonts w:ascii="Times New Roman" w:hAnsi="Times New Roman"/>
          <w:i/>
          <w:sz w:val="24"/>
        </w:rPr>
        <w:t xml:space="preserve">Godecke</w:t>
      </w:r>
      <w:r>
        <w:rPr>
          <w:rFonts w:ascii="Times New Roman" w:hAnsi="Times New Roman"/>
          <w:sz w:val="24"/>
        </w:rPr>
        <w:t xml:space="preserve">, Gibbs J, obiter, doubted that terms left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to be settled by one of the parties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bind,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Perhaps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excepting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subsidiary matters</w:t>
      </w:r>
      <w:r>
        <w:rPr>
          <w:rFonts w:ascii="Times New Roman" w:hAnsi="Times New Roman"/>
          <w:sz w:val="24"/>
        </w:rPr>
        <w:t xml:space="preserve">’</w:t>
      </w:r>
      <w:r>
        <w:rPr>
          <w:rFonts w:ascii="Times New Roman" w:hAnsi="Times New Roman"/>
          <w:sz w:val="24"/>
        </w:rPr>
        <w:t xml:space="preserve">; conditions deciding whether Rocky lends, not how, arguably exceed these.</w:t>
      </w:r>
      <w:r>
        <w:rPr>
          <w:rStyle w:val="FootnoteReference"/>
          <w:rFonts w:ascii="Times New Roman" w:hAnsi="Times New Roman"/>
          <w:sz w:val="24"/>
        </w:rPr>
        <w:footnoteReference w:id="37"/>
      </w:r>
      <w:r>
        <w:rPr>
          <w:rFonts w:ascii="Times New Roman" w:hAnsi="Times New Roman"/>
          <w:sz w:val="24"/>
        </w:rPr>
        <w:t xml:space="preserve"> </w:t>
      </w:r>
      <w:r>
        <w:rPr>
          <w:rFonts w:ascii="Times New Roman" w:hAnsi="Times New Roman"/>
          <w:sz w:val="24"/>
        </w:rPr>
        <w:t xml:space="preserve">The promise is therefore arguably illusory.</w:t>
      </w:r>
    </w:p>
    <w:bookmarkEnd w:id="38"/>
    <w:bookmarkStart w:id="45" w:name="f.-privity"/>
    <w:p>
      <w:pPr>
        <w:pStyle w:val="Heading3"/>
      </w:pPr>
      <w:r>
        <w:rPr>
          <w:rFonts w:ascii="Times New Roman" w:hAnsi="Times New Roman"/>
        </w:rPr>
        <w:t xml:space="preserve">F. Privity</w:t>
      </w:r>
    </w:p>
    <w:p>
      <w:pPr>
        <w:pStyle w:val="FirstParagraph"/>
      </w:pPr>
      <w:r>
        <w:rPr>
          <w:rFonts w:ascii="Times New Roman" w:hAnsi="Times New Roman"/>
          <w:sz w:val="24"/>
        </w:rPr>
        <w:t xml:space="preserve">Even if the email bound, AMPL was Rocky’s agent only if it contracted for him, not solely for itself:</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though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Rocky asked</w:t>
      </w:r>
      <w:r>
        <w:rPr>
          <w:rFonts w:ascii="Times New Roman" w:hAnsi="Times New Roman"/>
          <w:sz w:val="24"/>
        </w:rPr>
        <w:t xml:space="preserve">’</w:t>
      </w:r>
      <w:r>
        <w:rPr>
          <w:rFonts w:ascii="Times New Roman" w:hAnsi="Times New Roman"/>
          <w:sz w:val="24"/>
        </w:rPr>
        <w:t xml:space="preserve">, AMPL lent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$1,150,000</w:t>
      </w:r>
      <w:r>
        <w:rPr>
          <w:rFonts w:ascii="Times New Roman" w:hAnsi="Times New Roman"/>
          <w:sz w:val="24"/>
        </w:rPr>
        <w:t xml:space="preserve">’</w:t>
      </w:r>
      <w:r>
        <w:rPr>
          <w:rFonts w:ascii="Times New Roman" w:hAnsi="Times New Roman"/>
          <w:sz w:val="24"/>
        </w:rPr>
        <w:t xml:space="preserve">,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 million</w:t>
      </w:r>
      <w:r>
        <w:rPr>
          <w:rFonts w:ascii="Times New Roman" w:hAnsi="Times New Roman"/>
          <w:sz w:val="24"/>
        </w:rPr>
        <w:t xml:space="preserve">’</w:t>
      </w:r>
      <w:r>
        <w:rPr>
          <w:rFonts w:ascii="Times New Roman" w:hAnsi="Times New Roman"/>
          <w:sz w:val="24"/>
        </w:rPr>
        <w:t xml:space="preserve">, and took his guarantee, so Rocky lent nothing.</w:t>
      </w:r>
    </w:p>
    <w:p>
      <w:pPr>
        <w:pStyle w:val="BodyText"/>
      </w:pPr>
      <w:r>
        <w:rPr>
          <w:rFonts w:ascii="Times New Roman" w:hAnsi="Times New Roman"/>
          <w:sz w:val="24"/>
        </w:rPr>
        <w:t xml:space="preserve">Only a party can enforce a contract, and only if he provided consideration;</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whether one is a party turns on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 not signature.</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Mrs Coulls signed, yet the contract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purports expressly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 be between her husband and the company;</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likewise AMPL and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entered into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Loan Agreement. Nothing there makes Grace’s promise one to Rocky, so he is no joint promisee.</w:t>
      </w:r>
      <w:r>
        <w:rPr>
          <w:rStyle w:val="FootnoteReference"/>
          <w:rFonts w:ascii="Times New Roman" w:hAnsi="Times New Roman"/>
          <w:sz w:val="24"/>
        </w:rPr>
        <w:footnoteReference w:id="43"/>
      </w:r>
      <w:r>
        <w:rPr>
          <w:rFonts w:ascii="Times New Roman" w:hAnsi="Times New Roman"/>
          <w:sz w:val="24"/>
        </w:rPr>
        <w:t xml:space="preserve"> </w:t>
      </w:r>
      <w:r>
        <w:rPr>
          <w:rFonts w:ascii="Times New Roman" w:hAnsi="Times New Roman"/>
          <w:sz w:val="24"/>
        </w:rPr>
        <w:t xml:space="preserve">Grace’s answer is therefore right, though not because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never signed anything</w:t>
      </w:r>
      <w:r>
        <w:rPr>
          <w:rFonts w:ascii="Times New Roman" w:hAnsi="Times New Roman"/>
          <w:sz w:val="24"/>
        </w:rPr>
        <w:t xml:space="preserve">’</w:t>
      </w:r>
      <w:r>
        <w:rPr>
          <w:rFonts w:ascii="Times New Roman" w:hAnsi="Times New Roman"/>
          <w:sz w:val="24"/>
        </w:rPr>
        <w:t xml:space="preserve">, and the 5 March demand, arguably premised on 27 February (II.G), fails.</w:t>
      </w:r>
    </w:p>
    <w:p>
      <w:pPr>
        <w:pStyle w:val="BodyText"/>
      </w:pPr>
      <w:r>
        <w:rPr>
          <w:rFonts w:ascii="Times New Roman" w:hAnsi="Times New Roman"/>
          <w:sz w:val="24"/>
        </w:rPr>
        <w:t xml:space="preserve">AMPL enforces its loan and agency fails; no trust or estoppel appearing, nothing circumvents the privity rule.</w:t>
      </w:r>
      <w:r>
        <w:rPr>
          <w:rStyle w:val="FootnoteReference"/>
          <w:rFonts w:ascii="Times New Roman" w:hAnsi="Times New Roman"/>
          <w:sz w:val="24"/>
        </w:rPr>
        <w:footnoteReference w:id="44"/>
      </w:r>
    </w:p>
    <w:bookmarkEnd w:id="45"/>
    <w:bookmarkEnd w:id="46"/>
    <w:bookmarkStart w:id="89" w:name="ii.-rocky-v-ampl-alternatively-pierre"/>
    <w:p>
      <w:pPr>
        <w:pStyle w:val="Heading2"/>
      </w:pPr>
      <w:r>
        <w:rPr>
          <w:rFonts w:ascii="Times New Roman" w:hAnsi="Times New Roman"/>
        </w:rPr>
        <w:t xml:space="preserve">II. ROCKY v AMPL (ALTERNATIVELY PIERRE)</w:t>
      </w:r>
    </w:p>
    <w:bookmarkStart w:id="49" w:name="a.-offer-1"/>
    <w:p>
      <w:pPr>
        <w:pStyle w:val="Heading3"/>
      </w:pPr>
      <w:r>
        <w:rPr>
          <w:rFonts w:ascii="Times New Roman" w:hAnsi="Times New Roman"/>
        </w:rPr>
        <w:t xml:space="preserve">A. Offer</w:t>
      </w:r>
    </w:p>
    <w:p>
      <w:pPr>
        <w:pStyle w:val="FirstParagraph"/>
      </w:pPr>
      <w:r>
        <w:rPr>
          <w:rFonts w:ascii="Times New Roman" w:hAnsi="Times New Roman"/>
          <w:sz w:val="24"/>
        </w:rPr>
        <w:t xml:space="preserve">What Pierre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proposed nothing to accept, so it was likely an invitation to treat;</w:t>
      </w:r>
      <w:r>
        <w:rPr>
          <w:rStyle w:val="FootnoteReference"/>
          <w:rFonts w:ascii="Times New Roman" w:hAnsi="Times New Roman"/>
          <w:sz w:val="24"/>
        </w:rPr>
        <w:footnoteReference w:id="47"/>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you also promise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sought a return promise, offering a bilateral contract.</w:t>
      </w:r>
      <w:r>
        <w:rPr>
          <w:rStyle w:val="FootnoteReference"/>
          <w:rFonts w:ascii="Times New Roman" w:hAnsi="Times New Roman"/>
          <w:sz w:val="24"/>
        </w:rPr>
        <w:footnoteReference w:id="48"/>
      </w:r>
    </w:p>
    <w:bookmarkEnd w:id="49"/>
    <w:bookmarkStart w:id="53" w:name="b.-acceptance-1"/>
    <w:p>
      <w:pPr>
        <w:pStyle w:val="Heading3"/>
      </w:pPr>
      <w:r>
        <w:rPr>
          <w:rFonts w:ascii="Times New Roman" w:hAnsi="Times New Roman"/>
        </w:rPr>
        <w:t xml:space="preserve">B. Acceptance</w:t>
      </w:r>
    </w:p>
    <w:p>
      <w:pPr>
        <w:pStyle w:val="FirstParagraph"/>
      </w:pPr>
      <w:r>
        <w:rPr>
          <w:rFonts w:ascii="Times New Roman" w:hAnsi="Times New Roman"/>
          <w:sz w:val="24"/>
        </w:rPr>
        <w:t xml:space="preserve">Pierre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 manifesting assent to Rocky’s offer, so he accepted for whomever he represented.</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AMPL would say nothing bound until execution; yet, as Lord Greene MR said of exchanges of contracts, parties are bound when and how they contemplate:</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nothing required a document or reserved a right to withdraw.</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Both promises therefore likely bind.</w:t>
      </w:r>
    </w:p>
    <w:bookmarkEnd w:id="53"/>
    <w:bookmarkStart w:id="61" w:name="c.-consideration-1"/>
    <w:p>
      <w:pPr>
        <w:pStyle w:val="Heading3"/>
      </w:pPr>
      <w:r>
        <w:rPr>
          <w:rFonts w:ascii="Times New Roman" w:hAnsi="Times New Roman"/>
        </w:rPr>
        <w:t xml:space="preserve">C. Consideration</w:t>
      </w:r>
    </w:p>
    <w:p>
      <w:pPr>
        <w:pStyle w:val="FirstParagraph"/>
      </w:pPr>
      <w:r>
        <w:rPr>
          <w:rFonts w:ascii="Times New Roman" w:hAnsi="Times New Roman"/>
          <w:sz w:val="24"/>
        </w:rPr>
        <w:t xml:space="preserve">The $10,000, sought by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you also promise</w:t>
      </w:r>
      <w:r>
        <w:rPr>
          <w:rFonts w:ascii="Times New Roman" w:hAnsi="Times New Roman"/>
          <w:sz w:val="24"/>
        </w:rPr>
        <w:t xml:space="preserve">’</w:t>
      </w:r>
      <w:r>
        <w:rPr>
          <w:rFonts w:ascii="Times New Roman" w:hAnsi="Times New Roman"/>
          <w:sz w:val="24"/>
        </w:rPr>
        <w:t xml:space="preserve">, priced Rocky’s undertaking,</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which moved from him as promisee;</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if Pierre promised, Rocky’s detriment likely suffices, though AMPL benefits.</w:t>
      </w:r>
      <w:r>
        <w:rPr>
          <w:rStyle w:val="FootnoteReference"/>
          <w:rFonts w:ascii="Times New Roman" w:hAnsi="Times New Roman"/>
          <w:sz w:val="24"/>
        </w:rPr>
        <w:footnoteReference w:id="56"/>
      </w:r>
    </w:p>
    <w:p>
      <w:pPr>
        <w:pStyle w:val="BodyText"/>
      </w:pPr>
      <w:r>
        <w:rPr>
          <w:rFonts w:ascii="Times New Roman" w:hAnsi="Times New Roman"/>
          <w:sz w:val="24"/>
        </w:rPr>
        <w:t xml:space="preserve">The existing legal duty rule applies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 least when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party to a pre-existing contract promises the promisee under it no more than it requires.</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AMPL would say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also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its clause show a guarantee already given; as in</w:t>
      </w:r>
      <w:r>
        <w:rPr>
          <w:rFonts w:ascii="Times New Roman" w:hAnsi="Times New Roman"/>
          <w:sz w:val="24"/>
        </w:rPr>
        <w:t xml:space="preserve"> </w:t>
      </w:r>
      <w:r>
        <w:rPr>
          <w:iCs/>
          <w:rFonts w:ascii="Times New Roman" w:hAnsi="Times New Roman"/>
          <w:i/>
          <w:sz w:val="24"/>
        </w:rPr>
        <w:t xml:space="preserve">Sundell</w:t>
      </w:r>
      <w:r>
        <w:rPr>
          <w:rFonts w:ascii="Times New Roman" w:hAnsi="Times New Roman"/>
          <w:sz w:val="24"/>
        </w:rPr>
        <w:t xml:space="preserve">, a promise to ensure performance already owed is no consideration.</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Yet no earlier promise binds Rocky: his 27 February request did not itself establish a contract,</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and the clause was arguably included after Pierre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 If Pierre promised, a promise to him to perform a contractual duty owed to a third party, AMPL, can be consideration.</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Ensuring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 … promptly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exceeds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so Rocky likely gave consideration, though an earlier clause would favour AMPL.</w:t>
      </w:r>
    </w:p>
    <w:bookmarkEnd w:id="61"/>
    <w:bookmarkStart w:id="64" w:name="d.-intention-to-create-legal-relations-1"/>
    <w:p>
      <w:pPr>
        <w:pStyle w:val="Heading3"/>
      </w:pPr>
      <w:r>
        <w:rPr>
          <w:rFonts w:ascii="Times New Roman" w:hAnsi="Times New Roman"/>
        </w:rPr>
        <w:t xml:space="preserve">D. Intention to create legal relations</w:t>
      </w:r>
    </w:p>
    <w:p>
      <w:pPr>
        <w:pStyle w:val="FirstParagraph"/>
      </w:pPr>
      <w:r>
        <w:rPr>
          <w:rFonts w:ascii="Times New Roman" w:hAnsi="Times New Roman"/>
          <w:sz w:val="24"/>
        </w:rPr>
        <w:t xml:space="preserve">No presumption governs cousins; Rocky bears the onus.</w:t>
      </w:r>
      <w:r>
        <w:rPr>
          <w:rStyle w:val="FootnoteReference"/>
          <w:rFonts w:ascii="Times New Roman" w:hAnsi="Times New Roman"/>
          <w:sz w:val="24"/>
        </w:rPr>
        <w:footnoteReference w:id="62"/>
      </w:r>
      <w:r>
        <w:rPr>
          <w:rFonts w:ascii="Times New Roman" w:hAnsi="Times New Roman"/>
          <w:sz w:val="24"/>
        </w:rPr>
        <w:t xml:space="preserve"> </w:t>
      </w:r>
      <w:r>
        <w:rPr>
          <w:rFonts w:ascii="Times New Roman" w:hAnsi="Times New Roman"/>
          <w:sz w:val="24"/>
        </w:rPr>
        <w:t xml:space="preserve">Against intention, the undertaking resembles a letter of comfort, which in</w:t>
      </w:r>
      <w:r>
        <w:rPr>
          <w:rFonts w:ascii="Times New Roman" w:hAnsi="Times New Roman"/>
          <w:sz w:val="24"/>
        </w:rPr>
        <w:t xml:space="preserve"> </w:t>
      </w:r>
      <w:r>
        <w:rPr>
          <w:iCs/>
          <w:rFonts w:ascii="Times New Roman" w:hAnsi="Times New Roman"/>
          <w:i/>
          <w:sz w:val="24"/>
        </w:rPr>
        <w:t xml:space="preserve">Banque Brussels</w:t>
      </w:r>
      <w:r>
        <w:rPr>
          <w:rFonts w:ascii="Times New Roman" w:hAnsi="Times New Roman"/>
          <w:sz w:val="24"/>
        </w:rPr>
        <w:t xml:space="preserve"> </w:t>
      </w:r>
      <w:r>
        <w:rPr>
          <w:rFonts w:ascii="Times New Roman" w:hAnsi="Times New Roman"/>
          <w:sz w:val="24"/>
        </w:rPr>
        <w:t xml:space="preserve">conditioned the facility it was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to induce</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63"/>
      </w:r>
      <w:r>
        <w:rPr>
          <w:rFonts w:ascii="Times New Roman" w:hAnsi="Times New Roman"/>
          <w:sz w:val="24"/>
        </w:rPr>
        <w:t xml:space="preserve"> </w:t>
      </w:r>
      <w:r>
        <w:rPr>
          <w:rFonts w:ascii="Times New Roman" w:hAnsi="Times New Roman"/>
          <w:sz w:val="24"/>
        </w:rPr>
        <w:t xml:space="preserve">whereas AMPL had already advanced. Yet the undertaking was priced 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$10,000</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given</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 AMPL’s office</w:t>
      </w:r>
      <w:r>
        <w:rPr>
          <w:rFonts w:ascii="Times New Roman" w:hAnsi="Times New Roman"/>
          <w:sz w:val="24"/>
        </w:rPr>
        <w:t xml:space="preserve">’</w:t>
      </w:r>
      <w:r>
        <w:rPr>
          <w:rFonts w:ascii="Times New Roman" w:hAnsi="Times New Roman"/>
          <w:sz w:val="24"/>
        </w:rPr>
        <w:t xml:space="preserve">. Intention is likely present on both sides, the price outweighing cousinhood even if Pierre promised.</w:t>
      </w:r>
    </w:p>
    <w:bookmarkEnd w:id="64"/>
    <w:bookmarkStart w:id="67" w:name="e.-certainty-1"/>
    <w:p>
      <w:pPr>
        <w:pStyle w:val="Heading3"/>
      </w:pPr>
      <w:r>
        <w:rPr>
          <w:rFonts w:ascii="Times New Roman" w:hAnsi="Times New Roman"/>
        </w:rPr>
        <w:t xml:space="preserve">E. Certainty</w:t>
      </w:r>
    </w:p>
    <w:p>
      <w:pPr>
        <w:pStyle w:val="FirstParagraph"/>
      </w:pPr>
      <w:r>
        <w:rPr>
          <w:rFonts w:ascii="Times New Roman" w:hAnsi="Times New Roman"/>
          <w:sz w:val="24"/>
        </w:rPr>
        <w:t xml:space="preserve">Ensuring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 … promptly</w:t>
      </w:r>
      <w:r>
        <w:rPr>
          <w:rFonts w:ascii="Times New Roman" w:hAnsi="Times New Roman"/>
          <w:sz w:val="24"/>
        </w:rPr>
        <w:t xml:space="preserve">’</w:t>
      </w:r>
      <w:r>
        <w:rPr>
          <w:rFonts w:ascii="Times New Roman" w:hAnsi="Times New Roman"/>
          <w:sz w:val="24"/>
        </w:rPr>
        <w:t xml:space="preserve">, measured by the Loan’s timetable,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that no intention can be attributed.</w:t>
      </w:r>
      <w:r>
        <w:rPr>
          <w:rStyle w:val="FootnoteReference"/>
          <w:rFonts w:ascii="Times New Roman" w:hAnsi="Times New Roman"/>
          <w:sz w:val="24"/>
        </w:rPr>
        <w:footnoteReference w:id="65"/>
      </w:r>
      <w:r>
        <w:rPr>
          <w:rFonts w:ascii="Times New Roman" w:hAnsi="Times New Roman"/>
          <w:sz w:val="24"/>
        </w:rPr>
        <w:t xml:space="preserve"> </w:t>
      </w:r>
      <w:r>
        <w:rPr>
          <w:rFonts w:ascii="Times New Roman" w:hAnsi="Times New Roman"/>
          <w:sz w:val="24"/>
        </w:rPr>
        <w:t xml:space="preserve">AMPL’s promise, depending on Grace’s repayment, is not illusory.</w:t>
      </w:r>
      <w:r>
        <w:rPr>
          <w:rStyle w:val="FootnoteReference"/>
          <w:rFonts w:ascii="Times New Roman" w:hAnsi="Times New Roman"/>
          <w:sz w:val="24"/>
        </w:rPr>
        <w:footnoteReference w:id="66"/>
      </w:r>
    </w:p>
    <w:bookmarkEnd w:id="67"/>
    <w:bookmarkStart w:id="70" w:name="f.-privity-1"/>
    <w:p>
      <w:pPr>
        <w:pStyle w:val="Heading3"/>
      </w:pPr>
      <w:r>
        <w:rPr>
          <w:rFonts w:ascii="Times New Roman" w:hAnsi="Times New Roman"/>
        </w:rPr>
        <w:t xml:space="preserve">F. Privity</w:t>
      </w:r>
    </w:p>
    <w:p>
      <w:pPr>
        <w:pStyle w:val="FirstParagraph"/>
      </w:pPr>
      <w:r>
        <w:rPr>
          <w:rFonts w:ascii="Times New Roman" w:hAnsi="Times New Roman"/>
          <w:sz w:val="24"/>
        </w:rPr>
        <w:t xml:space="preserve">Rocky, the promisee and payee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to me directly</w:t>
      </w:r>
      <w:r>
        <w:rPr>
          <w:rFonts w:ascii="Times New Roman" w:hAnsi="Times New Roman"/>
          <w:sz w:val="24"/>
        </w:rPr>
        <w:t xml:space="preserve">’</w:t>
      </w:r>
      <w:r>
        <w:rPr>
          <w:rFonts w:ascii="Times New Roman" w:hAnsi="Times New Roman"/>
          <w:sz w:val="24"/>
        </w:rPr>
        <w:t xml:space="preserve">, gave consideration, so privity does not bar him.</w:t>
      </w:r>
      <w:r>
        <w:rPr>
          <w:rStyle w:val="FootnoteReference"/>
          <w:rFonts w:ascii="Times New Roman" w:hAnsi="Times New Roman"/>
          <w:sz w:val="24"/>
        </w:rPr>
        <w:footnoteReference w:id="68"/>
      </w:r>
      <w:r>
        <w:rPr>
          <w:rFonts w:ascii="Times New Roman" w:hAnsi="Times New Roman"/>
          <w:sz w:val="24"/>
        </w:rPr>
        <w:t xml:space="preserve"> </w:t>
      </w: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clause most naturally means the guarantee clause named first; even a written $10,000 term would leave him the oral promise.</w:t>
      </w:r>
    </w:p>
    <w:p>
      <w:pPr>
        <w:pStyle w:val="BodyText"/>
      </w:pPr>
      <w:r>
        <w:rPr>
          <w:rFonts w:ascii="Times New Roman" w:hAnsi="Times New Roman"/>
          <w:sz w:val="24"/>
        </w:rPr>
        <w:t xml:space="preserve">Who promised turns on agency: whether Pierre contracted for AMPL, not solely for himself, with its authority or, arguably, ratification.</w:t>
      </w:r>
      <w:r>
        <w:rPr>
          <w:rStyle w:val="FootnoteReference"/>
          <w:rFonts w:ascii="Times New Roman" w:hAnsi="Times New Roman"/>
          <w:sz w:val="24"/>
        </w:rPr>
        <w:footnoteReference w:id="69"/>
      </w:r>
      <w:r>
        <w:rPr>
          <w:rFonts w:ascii="Times New Roman" w:hAnsi="Times New Roman"/>
          <w:sz w:val="24"/>
        </w:rPr>
        <w:t xml:space="preserve"> </w:t>
      </w:r>
      <w:r>
        <w:rPr>
          <w:rFonts w:ascii="Times New Roman" w:hAnsi="Times New Roman"/>
          <w:sz w:val="24"/>
        </w:rPr>
        <w:t xml:space="preserve">AMPL,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owned and controlled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by Pierre, likely authorised him; his contracting for it is contested: Rocky asked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also promise</w:t>
      </w:r>
      <w:r>
        <w:rPr>
          <w:rFonts w:ascii="Times New Roman" w:hAnsi="Times New Roman"/>
          <w:sz w:val="24"/>
        </w:rPr>
        <w:t xml:space="preserve">’</w:t>
      </w:r>
      <w:r>
        <w:rPr>
          <w:rFonts w:ascii="Times New Roman" w:hAnsi="Times New Roman"/>
          <w:sz w:val="24"/>
        </w:rPr>
        <w:t xml:space="preserve">. Yet Pierre spoke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 AMPL’s office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about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payments under the Loan Agreement</w:t>
      </w:r>
      <w:r>
        <w:rPr>
          <w:rFonts w:ascii="Times New Roman" w:hAnsi="Times New Roman"/>
          <w:sz w:val="24"/>
        </w:rPr>
        <w:t xml:space="preserve">’</w:t>
      </w:r>
      <w:r>
        <w:rPr>
          <w:rFonts w:ascii="Times New Roman" w:hAnsi="Times New Roman"/>
          <w:sz w:val="24"/>
        </w:rPr>
        <w:t xml:space="preserve">, and AMPL called under the guarantee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provided by Rocky</w:t>
      </w:r>
      <w:r>
        <w:rPr>
          <w:rFonts w:ascii="Times New Roman" w:hAnsi="Times New Roman"/>
          <w:sz w:val="24"/>
        </w:rPr>
        <w:t xml:space="preserve">’</w:t>
      </w:r>
      <w:r>
        <w:rPr>
          <w:rFonts w:ascii="Times New Roman" w:hAnsi="Times New Roman"/>
          <w:sz w:val="24"/>
        </w:rPr>
        <w:t xml:space="preserve">, arguably his undertaking. On balance, AMPL likely promised, though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keeps Pierre’s promise arguable, decisively so if he disclaimed acting for AMPL.</w:t>
      </w:r>
    </w:p>
    <w:bookmarkEnd w:id="70"/>
    <w:bookmarkStart w:id="73" w:name="g.-construction"/>
    <w:p>
      <w:pPr>
        <w:pStyle w:val="Heading3"/>
      </w:pPr>
      <w:r>
        <w:rPr>
          <w:rFonts w:ascii="Times New Roman" w:hAnsi="Times New Roman"/>
        </w:rPr>
        <w:t xml:space="preserve">G. Construction</w:t>
      </w:r>
    </w:p>
    <w:p>
      <w:pPr>
        <w:pStyle w:val="FirstParagraph"/>
      </w:pPr>
      <w:r>
        <w:rPr>
          <w:rFonts w:ascii="Times New Roman" w:hAnsi="Times New Roman"/>
          <w:sz w:val="24"/>
        </w:rPr>
        <w:t xml:space="preserve">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12 months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construed objectively: pre-contractual conduct is admissible only if the words are ambiguous, and post-contractual conduct cannot show meaning.</w:t>
      </w:r>
      <w:r>
        <w:rPr>
          <w:rStyle w:val="FootnoteReference"/>
          <w:rFonts w:ascii="Times New Roman" w:hAnsi="Times New Roman"/>
          <w:sz w:val="24"/>
        </w:rPr>
        <w:footnoteReference w:id="71"/>
      </w:r>
      <w:r>
        <w:rPr>
          <w:rFonts w:ascii="Times New Roman" w:hAnsi="Times New Roman"/>
          <w:sz w:val="24"/>
        </w:rPr>
        <w:t xml:space="preserve"> </w:t>
      </w:r>
      <w:r>
        <w:rPr>
          <w:rFonts w:ascii="Times New Roman" w:hAnsi="Times New Roman"/>
          <w:sz w:val="24"/>
        </w:rPr>
        <w:t xml:space="preserve">The words are arguably ambiguous: the instrument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sum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advanced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 27 February, the transaction’s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genesis</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72"/>
      </w:r>
      <w:r>
        <w:rPr>
          <w:rFonts w:ascii="Times New Roman" w:hAnsi="Times New Roman"/>
          <w:sz w:val="24"/>
        </w:rPr>
        <w:t xml:space="preserve"> </w:t>
      </w:r>
      <w:r>
        <w:rPr>
          <w:rFonts w:ascii="Times New Roman" w:hAnsi="Times New Roman"/>
          <w:sz w:val="24"/>
        </w:rPr>
        <w:t xml:space="preserve">The terms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 monthly repayments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date from 8 April; yet those payments are post-contractual conduct,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12 months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attach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w:t>
      </w:r>
      <w:r>
        <w:rPr>
          <w:rFonts w:ascii="Times New Roman" w:hAnsi="Times New Roman"/>
          <w:sz w:val="24"/>
        </w:rPr>
        <w:t xml:space="preserve">’</w:t>
      </w:r>
      <w:r>
        <w:rPr>
          <w:rFonts w:ascii="Times New Roman" w:hAnsi="Times New Roman"/>
          <w:sz w:val="24"/>
        </w:rPr>
        <w:t xml:space="preserve">, which Grace had from 27 February. The period likely ran from then, though narrowly, unless the agreement dates it otherwise.</w:t>
      </w:r>
    </w:p>
    <w:bookmarkEnd w:id="73"/>
    <w:bookmarkStart w:id="77" w:name="h.-condition-precedent"/>
    <w:p>
      <w:pPr>
        <w:pStyle w:val="Heading3"/>
      </w:pPr>
      <w:r>
        <w:rPr>
          <w:rFonts w:ascii="Times New Roman" w:hAnsi="Times New Roman"/>
        </w:rPr>
        <w:t xml:space="preserve">H. Condition precedent</w:t>
      </w:r>
    </w:p>
    <w:p>
      <w:pPr>
        <w:pStyle w:val="FirstParagraph"/>
      </w:pPr>
      <w:r>
        <w:rPr>
          <w:rFonts w:ascii="Times New Roman" w:hAnsi="Times New Roman"/>
          <w:sz w:val="24"/>
        </w:rPr>
        <w:t xml:space="preserve">The bargain binding immediately,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conditions AMPL’s obligation, not formation, the contract becoming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completely binding</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 fulfilment;</w:t>
      </w:r>
      <w:r>
        <w:rPr>
          <w:rStyle w:val="FootnoteReference"/>
          <w:rFonts w:ascii="Times New Roman" w:hAnsi="Times New Roman"/>
          <w:sz w:val="24"/>
        </w:rPr>
        <w:footnoteReference w:id="74"/>
      </w:r>
      <w:r>
        <w:rPr>
          <w:rFonts w:ascii="Times New Roman" w:hAnsi="Times New Roman"/>
          <w:sz w:val="24"/>
        </w:rPr>
        <w:t xml:space="preserve"> </w:t>
      </w:r>
      <w:r>
        <w:rPr>
          <w:rFonts w:ascii="Times New Roman" w:hAnsi="Times New Roman"/>
          <w:sz w:val="24"/>
        </w:rPr>
        <w:t xml:space="preserve">on 9 March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so nothing was payable. Read literally or commercially, words naming Grace do not cover Rocky’s payment:</w:t>
      </w:r>
      <w:r>
        <w:rPr>
          <w:rStyle w:val="FootnoteReference"/>
          <w:rFonts w:ascii="Times New Roman" w:hAnsi="Times New Roman"/>
          <w:sz w:val="24"/>
        </w:rPr>
        <w:footnoteReference w:id="75"/>
      </w:r>
      <w:r>
        <w:rPr>
          <w:rFonts w:ascii="Times New Roman" w:hAnsi="Times New Roman"/>
          <w:sz w:val="24"/>
        </w:rPr>
        <w:t xml:space="preserve"> </w:t>
      </w:r>
      <w:r>
        <w:rPr>
          <w:rFonts w:ascii="Times New Roman" w:hAnsi="Times New Roman"/>
          <w:sz w:val="24"/>
        </w:rPr>
        <w:t xml:space="preserve">the $10,000 falls due on what his undertaking secured, Grace’s repayment. Nor does the duty to co-operate,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to do everything necessary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Rocky’s benefit, assist:</w:t>
      </w:r>
      <w:r>
        <w:rPr>
          <w:rStyle w:val="FootnoteReference"/>
          <w:rFonts w:ascii="Times New Roman" w:hAnsi="Times New Roman"/>
          <w:sz w:val="24"/>
        </w:rPr>
        <w:footnoteReference w:id="76"/>
      </w:r>
      <w:r>
        <w:rPr>
          <w:rFonts w:ascii="Times New Roman" w:hAnsi="Times New Roman"/>
          <w:sz w:val="24"/>
        </w:rPr>
        <w:t xml:space="preserve"> </w:t>
      </w:r>
      <w:r>
        <w:rPr>
          <w:rFonts w:ascii="Times New Roman" w:hAnsi="Times New Roman"/>
          <w:sz w:val="24"/>
        </w:rPr>
        <w:t xml:space="preserve">nothing suggests AMPL’s call prevents Grace repaying. Rocky’s payment therefore likely does not meet the condition.</w:t>
      </w:r>
    </w:p>
    <w:bookmarkEnd w:id="77"/>
    <w:bookmarkStart w:id="88" w:name="i.-privity-ampls-call"/>
    <w:p>
      <w:pPr>
        <w:pStyle w:val="Heading3"/>
      </w:pPr>
      <w:r>
        <w:rPr>
          <w:rFonts w:ascii="Times New Roman" w:hAnsi="Times New Roman"/>
        </w:rPr>
        <w:t xml:space="preserve">I. Privity: AMPL’s call</w:t>
      </w:r>
    </w:p>
    <w:p>
      <w:pPr>
        <w:pStyle w:val="FirstParagraph"/>
      </w:pPr>
      <w:r>
        <w:rPr>
          <w:rFonts w:ascii="Times New Roman" w:hAnsi="Times New Roman"/>
          <w:sz w:val="24"/>
        </w:rPr>
        <w:t xml:space="preserve">Only a contract’s parties are bound by its terms:</w:t>
      </w:r>
      <w:r>
        <w:rPr>
          <w:rStyle w:val="FootnoteReference"/>
          <w:rFonts w:ascii="Times New Roman" w:hAnsi="Times New Roman"/>
          <w:sz w:val="24"/>
        </w:rPr>
        <w:footnoteReference w:id="78"/>
      </w:r>
      <w:r>
        <w:rPr>
          <w:rFonts w:ascii="Times New Roman" w:hAnsi="Times New Roman"/>
          <w:sz w:val="24"/>
        </w:rPr>
        <w:t xml:space="preserve"> </w:t>
      </w:r>
      <w:r>
        <w:rPr>
          <w:rFonts w:ascii="Times New Roman" w:hAnsi="Times New Roman"/>
          <w:sz w:val="24"/>
        </w:rPr>
        <w:t xml:space="preserve">the guarantee clause binds Rocky only if he manifested assent,</w:t>
      </w:r>
      <w:r>
        <w:rPr>
          <w:rStyle w:val="FootnoteReference"/>
          <w:rFonts w:ascii="Times New Roman" w:hAnsi="Times New Roman"/>
          <w:sz w:val="24"/>
        </w:rPr>
        <w:footnoteReference w:id="79"/>
      </w:r>
      <w:r>
        <w:rPr>
          <w:rFonts w:ascii="Times New Roman" w:hAnsi="Times New Roman"/>
          <w:sz w:val="24"/>
        </w:rPr>
        <w:t xml:space="preserve"> </w:t>
      </w:r>
      <w:r>
        <w:rPr>
          <w:rFonts w:ascii="Times New Roman" w:hAnsi="Times New Roman"/>
          <w:sz w:val="24"/>
        </w:rPr>
        <w:t xml:space="preserve">signature being neither necessary</w:t>
      </w:r>
      <w:r>
        <w:rPr>
          <w:rStyle w:val="FootnoteReference"/>
          <w:rFonts w:ascii="Times New Roman" w:hAnsi="Times New Roman"/>
          <w:sz w:val="24"/>
        </w:rPr>
        <w:footnoteReference w:id="80"/>
      </w:r>
      <w:r>
        <w:rPr>
          <w:rFonts w:ascii="Times New Roman" w:hAnsi="Times New Roman"/>
          <w:sz w:val="24"/>
        </w:rPr>
        <w:t xml:space="preserve"> </w:t>
      </w:r>
      <w:r>
        <w:rPr>
          <w:rFonts w:ascii="Times New Roman" w:hAnsi="Times New Roman"/>
          <w:sz w:val="24"/>
        </w:rPr>
        <w:t xml:space="preserve">nor decisive.</w:t>
      </w:r>
      <w:r>
        <w:rPr>
          <w:rStyle w:val="FootnoteReference"/>
          <w:rFonts w:ascii="Times New Roman" w:hAnsi="Times New Roman"/>
          <w:sz w:val="24"/>
        </w:rPr>
        <w:footnoteReference w:id="81"/>
      </w:r>
      <w:r>
        <w:rPr>
          <w:rFonts w:ascii="Times New Roman" w:hAnsi="Times New Roman"/>
          <w:sz w:val="24"/>
        </w:rPr>
        <w:t xml:space="preserve"> </w:t>
      </w:r>
      <w:r>
        <w:rPr>
          <w:rFonts w:ascii="Times New Roman" w:hAnsi="Times New Roman"/>
          <w:sz w:val="24"/>
        </w:rPr>
        <w:t xml:space="preserve">His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likely binds him, but to AMPL only if Pierre accepted for it; otherwise AMPL has only the clause.</w:t>
      </w:r>
    </w:p>
    <w:p>
      <w:pPr>
        <w:pStyle w:val="BodyText"/>
      </w:pPr>
      <w:r>
        <w:rPr>
          <w:rFonts w:ascii="Times New Roman" w:hAnsi="Times New Roman"/>
          <w:sz w:val="24"/>
        </w:rPr>
        <w:t xml:space="preserve">Rocky promised what Pierre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ensuring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 … promptly</w:t>
      </w:r>
      <w:r>
        <w:rPr>
          <w:rFonts w:ascii="Times New Roman" w:hAnsi="Times New Roman"/>
          <w:sz w:val="24"/>
        </w:rPr>
        <w:t xml:space="preserve">’</w:t>
      </w:r>
      <w:r>
        <w:rPr>
          <w:rFonts w:ascii="Times New Roman" w:hAnsi="Times New Roman"/>
          <w:sz w:val="24"/>
        </w:rPr>
        <w:t xml:space="preserve">, whereas the clause concerns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He assented to the clause if,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reasonable opportunity to reject</w:t>
      </w:r>
      <w:r>
        <w:rPr>
          <w:rFonts w:ascii="Times New Roman" w:hAnsi="Times New Roman"/>
          <w:sz w:val="24"/>
        </w:rPr>
        <w:t xml:space="preserve">’</w:t>
      </w:r>
      <w:r>
        <w:rPr>
          <w:rFonts w:ascii="Times New Roman" w:hAnsi="Times New Roman"/>
          <w:sz w:val="24"/>
        </w:rPr>
        <w:t xml:space="preserve">, he took the benefit of AMPL’s offer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with knowledge of its terms</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82"/>
      </w:r>
      <w:r>
        <w:rPr>
          <w:rFonts w:ascii="Times New Roman" w:hAnsi="Times New Roman"/>
          <w:sz w:val="24"/>
        </w:rPr>
        <w:t xml:space="preserve"> </w:t>
      </w:r>
      <w:r>
        <w:rPr>
          <w:rFonts w:ascii="Times New Roman" w:hAnsi="Times New Roman"/>
          <w:sz w:val="24"/>
        </w:rPr>
        <w:t xml:space="preserve">If AMPL promised, its $10,000 promise was arguably that benefit.</w:t>
      </w:r>
      <w:r>
        <w:rPr>
          <w:rStyle w:val="FootnoteReference"/>
          <w:rFonts w:ascii="Times New Roman" w:hAnsi="Times New Roman"/>
          <w:sz w:val="24"/>
        </w:rPr>
        <w:footnoteReference w:id="83"/>
      </w:r>
      <w:r>
        <w:rPr>
          <w:rFonts w:ascii="Times New Roman" w:hAnsi="Times New Roman"/>
          <w:sz w:val="24"/>
        </w:rPr>
        <w:t xml:space="preserve"> </w:t>
      </w:r>
      <w:r>
        <w:rPr>
          <w:rFonts w:ascii="Times New Roman" w:hAnsi="Times New Roman"/>
          <w:sz w:val="24"/>
        </w:rPr>
        <w:t xml:space="preserve">The guarantee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provided by Rocky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proves he gave one, not that he knew the clause’s words; having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attended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meeting, he likely assented unless he never saw them.</w:t>
      </w:r>
    </w:p>
    <w:p>
      <w:pPr>
        <w:pStyle w:val="BodyText"/>
      </w:pPr>
      <w:r>
        <w:rPr>
          <w:rFonts w:ascii="Times New Roman" w:hAnsi="Times New Roman"/>
          <w:sz w:val="24"/>
        </w:rPr>
        <w:t xml:space="preserve">If AMPL promised the $10,000, that promise is its consideration. If Pierre promised, AMPL’s advance was past consideration,</w:t>
      </w:r>
      <w:r>
        <w:rPr>
          <w:rStyle w:val="FootnoteReference"/>
          <w:rFonts w:ascii="Times New Roman" w:hAnsi="Times New Roman"/>
          <w:sz w:val="24"/>
        </w:rPr>
        <w:footnoteReference w:id="84"/>
      </w:r>
      <w:r>
        <w:rPr>
          <w:rFonts w:ascii="Times New Roman" w:hAnsi="Times New Roman"/>
          <w:sz w:val="24"/>
        </w:rPr>
        <w:t xml:space="preserve"> </w:t>
      </w:r>
      <w:r>
        <w:rPr>
          <w:rFonts w:ascii="Times New Roman" w:hAnsi="Times New Roman"/>
          <w:sz w:val="24"/>
        </w:rPr>
        <w:t xml:space="preserve">sufficing under</w:t>
      </w:r>
      <w:r>
        <w:rPr>
          <w:rFonts w:ascii="Times New Roman" w:hAnsi="Times New Roman"/>
          <w:sz w:val="24"/>
        </w:rPr>
        <w:t xml:space="preserve"> </w:t>
      </w:r>
      <w:r>
        <w:rPr>
          <w:iCs/>
          <w:rFonts w:ascii="Times New Roman" w:hAnsi="Times New Roman"/>
          <w:i/>
          <w:sz w:val="24"/>
        </w:rPr>
        <w:t xml:space="preserve">Pao On</w:t>
      </w:r>
      <w:r>
        <w:rPr>
          <w:rFonts w:ascii="Times New Roman" w:hAnsi="Times New Roman"/>
          <w:sz w:val="24"/>
        </w:rPr>
        <w:t xml:space="preserve"> </w:t>
      </w:r>
      <w:r>
        <w:rPr>
          <w:rFonts w:ascii="Times New Roman" w:hAnsi="Times New Roman"/>
          <w:sz w:val="24"/>
        </w:rPr>
        <w:t xml:space="preserve">only if, besides Rocky’s request, the parties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understood that the act was to be remunerated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85"/>
      </w:r>
      <w:r>
        <w:rPr>
          <w:rFonts w:ascii="Times New Roman" w:hAnsi="Times New Roman"/>
          <w:sz w:val="24"/>
        </w:rPr>
        <w:t xml:space="preserve"> </w:t>
      </w:r>
      <w:r>
        <w:rPr>
          <w:rFonts w:ascii="Times New Roman" w:hAnsi="Times New Roman"/>
          <w:sz w:val="24"/>
        </w:rPr>
        <w:t xml:space="preserve">Nothing shows that understanding on 27 February, whereas in</w:t>
      </w:r>
      <w:r>
        <w:rPr>
          <w:rFonts w:ascii="Times New Roman" w:hAnsi="Times New Roman"/>
          <w:sz w:val="24"/>
        </w:rPr>
        <w:t xml:space="preserve"> </w:t>
      </w:r>
      <w:r>
        <w:rPr>
          <w:iCs/>
          <w:rFonts w:ascii="Times New Roman" w:hAnsi="Times New Roman"/>
          <w:i/>
          <w:sz w:val="24"/>
        </w:rPr>
        <w:t xml:space="preserve">Pao On</w:t>
      </w:r>
      <w:r>
        <w:rPr>
          <w:rFonts w:ascii="Times New Roman" w:hAnsi="Times New Roman"/>
          <w:sz w:val="24"/>
        </w:rPr>
        <w:t xml:space="preserve"> </w:t>
      </w:r>
      <w:r>
        <w:rPr>
          <w:rFonts w:ascii="Times New Roman" w:hAnsi="Times New Roman"/>
          <w:sz w:val="24"/>
        </w:rPr>
        <w:t xml:space="preserve">it existed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 the time of the main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86"/>
      </w:r>
      <w:r>
        <w:rPr>
          <w:rFonts w:ascii="Times New Roman" w:hAnsi="Times New Roman"/>
          <w:sz w:val="24"/>
        </w:rPr>
        <w:t xml:space="preserve"> </w:t>
      </w:r>
      <w:r>
        <w:rPr>
          <w:rFonts w:ascii="Times New Roman" w:hAnsi="Times New Roman"/>
          <w:sz w:val="24"/>
        </w:rPr>
        <w:t xml:space="preserve">AMPL would rely on entering the Loan Agreement; yet Rocky priced his undertaking 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$10,000</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87"/>
      </w:r>
      <w:r>
        <w:rPr>
          <w:rFonts w:ascii="Times New Roman" w:hAnsi="Times New Roman"/>
          <w:sz w:val="24"/>
        </w:rPr>
        <w:t xml:space="preserve"> </w:t>
      </w:r>
      <w:r>
        <w:rPr>
          <w:rFonts w:ascii="Times New Roman" w:hAnsi="Times New Roman"/>
          <w:sz w:val="24"/>
        </w:rPr>
        <w:t xml:space="preserve">so AMPL likely gave no consideration.</w:t>
      </w:r>
    </w:p>
    <w:p>
      <w:pPr>
        <w:pStyle w:val="BodyText"/>
      </w:pPr>
      <w:r>
        <w:rPr>
          <w:rFonts w:ascii="Times New Roman" w:hAnsi="Times New Roman"/>
          <w:sz w:val="24"/>
        </w:rPr>
        <w:t xml:space="preserve">As the 12 months likely ran from 27 February, the call was not premature; if they ran from 8 April, it was premature as to principal. Nothing shows interest paid after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8 February 2025</w:t>
      </w:r>
      <w:r>
        <w:rPr>
          <w:rFonts w:ascii="Times New Roman" w:hAnsi="Times New Roman"/>
          <w:sz w:val="24"/>
        </w:rPr>
        <w:t xml:space="preserve">’</w:t>
      </w:r>
      <w:r>
        <w:rPr>
          <w:rFonts w:ascii="Times New Roman" w:hAnsi="Times New Roman"/>
          <w:sz w:val="24"/>
        </w:rPr>
        <w:t xml:space="preserve">, so a March default is arguable, engaging only Rocky’s undertaking. If AMPL promised, Rocky likely owes AMPL on his undertaking when Grace defaults and, if he pays, likely loses the $10,000; if Pierre promised, AMPL’s call, lacking consideration, likely fails, and Rocky claims against, and is likely liable to, Pierre.</w:t>
      </w:r>
    </w:p>
    <w:p>
      <w:pPr>
        <w:pStyle w:val="BodyText"/>
      </w:pPr>
      <w:r>
        <w:rPr>
          <w:rFonts w:ascii="Times New Roman" w:hAnsi="Times New Roman"/>
          <w:sz w:val="24"/>
        </w:rPr>
        <w:t xml:space="preserve">Word count: 1,498</w:t>
      </w:r>
    </w:p>
    <w:bookmarkEnd w:id="88"/>
    <w:bookmarkEnd w:id="89"/>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Beaton v McDivitt</w:t>
      </w:r>
      <w:r>
        <w:rPr>
          <w:rFonts w:ascii="Times New Roman" w:hAnsi="Times New Roman" w:cs="Times New Roman"/>
        </w:rPr>
        <w:t xml:space="preserve"> </w:t>
      </w:r>
      <w:r>
        <w:rPr>
          <w:rFonts w:ascii="Times New Roman" w:hAnsi="Times New Roman" w:cs="Times New Roman"/>
        </w:rPr>
        <w:t xml:space="preserve">(1987) 13 NSWLR 162, 168 (Kirby P) (</w:t>
      </w:r>
      <w:r>
        <w:rPr>
          <w:rFonts w:ascii="Times New Roman" w:hAnsi="Times New Roman" w:cs="Times New Roman"/>
        </w:rPr>
        <w:t xml:space="preserve">‘</w:t>
      </w:r>
      <w:r>
        <w:rPr>
          <w:iCs/>
          <w:i/>
          <w:rFonts w:ascii="Times New Roman" w:hAnsi="Times New Roman" w:cs="Times New Roman"/>
        </w:rPr>
        <w:t xml:space="preserve">Beaton</w:t>
      </w:r>
      <w:r>
        <w:rPr>
          <w:rFonts w:ascii="Times New Roman" w:hAnsi="Times New Roman" w:cs="Times New Roman"/>
        </w:rPr>
        <w:t xml:space="preserve">’</w:t>
      </w:r>
      <w:r>
        <w:rPr>
          <w:rFonts w:ascii="Times New Roman" w:hAnsi="Times New Roman" w:cs="Times New Roman"/>
        </w:rPr>
        <w:t xml:space="preserve">).</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[25]–[26]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360 (</w:t>
      </w:r>
      <w:r>
        <w:rPr>
          <w:rFonts w:ascii="Times New Roman" w:hAnsi="Times New Roman" w:cs="Times New Roman"/>
        </w:rPr>
        <w:t xml:space="preserve">‘</w:t>
      </w:r>
      <w:r>
        <w:rPr>
          <w:iCs/>
          <w:i/>
          <w:rFonts w:ascii="Times New Roman" w:hAnsi="Times New Roman" w:cs="Times New Roman"/>
        </w:rPr>
        <w:t xml:space="preserve">Masters</w:t>
      </w:r>
      <w:r>
        <w:rPr>
          <w:rFonts w:ascii="Times New Roman" w:hAnsi="Times New Roman" w:cs="Times New Roman"/>
        </w:rPr>
        <w:t xml:space="preserve">’</w:t>
      </w:r>
      <w:r>
        <w:rPr>
          <w:rFonts w:ascii="Times New Roman" w:hAnsi="Times New Roman" w:cs="Times New Roman"/>
        </w:rPr>
        <w:t xml:space="preserve">).</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363,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w:t>
      </w:r>
      <w:r>
        <w:rPr>
          <w:rFonts w:ascii="Times New Roman" w:hAnsi="Times New Roman" w:cs="Times New Roman"/>
        </w:rPr>
        <w:t xml:space="preserve"> </w:t>
      </w:r>
      <w:r>
        <w:rPr>
          <w:rFonts w:ascii="Times New Roman" w:hAnsi="Times New Roman" w:cs="Times New Roman"/>
        </w:rPr>
        <w:t xml:space="preserve">(n 7) 361, citing</w:t>
      </w:r>
      <w:r>
        <w:rPr>
          <w:rFonts w:ascii="Times New Roman" w:hAnsi="Times New Roman" w:cs="Times New Roman"/>
        </w:rPr>
        <w:t xml:space="preserve"> </w:t>
      </w:r>
      <w:r>
        <w:rPr>
          <w:iCs/>
          <w:i/>
          <w:rFonts w:ascii="Times New Roman" w:hAnsi="Times New Roman" w:cs="Times New Roman"/>
        </w:rPr>
        <w:t xml:space="preserve">Niesmann v Collingridge</w:t>
      </w:r>
      <w:r>
        <w:rPr>
          <w:rFonts w:ascii="Times New Roman" w:hAnsi="Times New Roman" w:cs="Times New Roman"/>
        </w:rPr>
        <w:t xml:space="preserve"> </w:t>
      </w:r>
      <w:r>
        <w:rPr>
          <w:rFonts w:ascii="Times New Roman" w:hAnsi="Times New Roman" w:cs="Times New Roman"/>
        </w:rPr>
        <w:t xml:space="preserve">(1921) 29 CLR 177.</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Biotechnology Australia Pty Ltd v Pace</w:t>
      </w:r>
      <w:r>
        <w:rPr>
          <w:rFonts w:ascii="Times New Roman" w:hAnsi="Times New Roman" w:cs="Times New Roman"/>
        </w:rPr>
        <w:t xml:space="preserve"> </w:t>
      </w:r>
      <w:r>
        <w:rPr>
          <w:rFonts w:ascii="Times New Roman" w:hAnsi="Times New Roman" w:cs="Times New Roman"/>
        </w:rPr>
        <w:t xml:space="preserve">(1988) 15 NSWLR 130, 151 (McHugh JA) (</w:t>
      </w:r>
      <w:r>
        <w:rPr>
          <w:rFonts w:ascii="Times New Roman" w:hAnsi="Times New Roman" w:cs="Times New Roman"/>
        </w:rPr>
        <w:t xml:space="preserve">‘</w:t>
      </w:r>
      <w:r>
        <w:rPr>
          <w:iCs/>
          <w:i/>
          <w:rFonts w:ascii="Times New Roman" w:hAnsi="Times New Roman" w:cs="Times New Roman"/>
        </w:rPr>
        <w:t xml:space="preserve">Pace</w:t>
      </w:r>
      <w:r>
        <w:rPr>
          <w:rFonts w:ascii="Times New Roman" w:hAnsi="Times New Roman" w:cs="Times New Roman"/>
        </w:rPr>
        <w:t xml:space="preserve">’</w:t>
      </w:r>
      <w:r>
        <w:rPr>
          <w:rFonts w:ascii="Times New Roman" w:hAnsi="Times New Roman" w:cs="Times New Roman"/>
        </w:rPr>
        <w:t xml:space="preserve">).</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Pace</w:t>
      </w:r>
      <w:r>
        <w:rPr>
          <w:rFonts w:ascii="Times New Roman" w:hAnsi="Times New Roman" w:cs="Times New Roman"/>
        </w:rPr>
        <w:t xml:space="preserve"> </w:t>
      </w:r>
      <w:r>
        <w:rPr>
          <w:rFonts w:ascii="Times New Roman" w:hAnsi="Times New Roman" w:cs="Times New Roman"/>
        </w:rPr>
        <w:t xml:space="preserve">(n 10) 151 (McHugh JA).</w:t>
      </w:r>
    </w:p>
  </w:footnote>
  <w:footnote w:id="3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11) 588–90 (Mason J).</w:t>
      </w:r>
    </w:p>
  </w:footnote>
  <w:footnote w:id="3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646–7 (Gibbs J).</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w:t>
      </w:r>
      <w:r>
        <w:rPr>
          <w:rFonts w:ascii="Times New Roman" w:hAnsi="Times New Roman" w:cs="Times New Roman"/>
        </w:rPr>
        <w:t xml:space="preserve">‘</w:t>
      </w:r>
      <w:r>
        <w:rPr>
          <w:iCs/>
          <w:i/>
          <w:rFonts w:ascii="Times New Roman" w:hAnsi="Times New Roman" w:cs="Times New Roman"/>
        </w:rPr>
        <w:t xml:space="preserve">Port Jackson</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Scruttons Ltd v Midland Silicones Ltd</w:t>
      </w:r>
      <w:r>
        <w:rPr>
          <w:rFonts w:ascii="Times New Roman" w:hAnsi="Times New Roman" w:cs="Times New Roman"/>
        </w:rPr>
        <w:t xml:space="preserve"> </w:t>
      </w:r>
      <w:r>
        <w:rPr>
          <w:rFonts w:ascii="Times New Roman" w:hAnsi="Times New Roman" w:cs="Times New Roman"/>
        </w:rPr>
        <w:t xml:space="preserve">[1962] AC 446, 474 (Lord Reid).</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494–5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w:t>
      </w:r>
    </w:p>
  </w:footnote>
  <w:footnote w:id="4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486–7.</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(Brennan J dissenting) (</w:t>
      </w:r>
      <w:r>
        <w:rPr>
          <w:rFonts w:ascii="Times New Roman" w:hAnsi="Times New Roman" w:cs="Times New Roman"/>
        </w:rPr>
        <w:t xml:space="preserve">‘</w:t>
      </w:r>
      <w:r>
        <w:rPr>
          <w:iCs/>
          <w:i/>
          <w:rFonts w:ascii="Times New Roman" w:hAnsi="Times New Roman" w:cs="Times New Roman"/>
        </w:rPr>
        <w:t xml:space="preserve">Trident</w:t>
      </w:r>
      <w:r>
        <w:rPr>
          <w:rFonts w:ascii="Times New Roman" w:hAnsi="Times New Roman" w:cs="Times New Roman"/>
        </w:rPr>
        <w:t xml:space="preserve">’</w:t>
      </w:r>
      <w:r>
        <w:rPr>
          <w:rFonts w:ascii="Times New Roman" w:hAnsi="Times New Roman" w:cs="Times New Roman"/>
        </w:rPr>
        <w:t xml:space="preserve">).</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22) 176 (Heydon JA), quoting</w:t>
      </w:r>
      <w:r>
        <w:rPr>
          <w:rFonts w:ascii="Times New Roman" w:hAnsi="Times New Roman" w:cs="Times New Roman"/>
        </w:rPr>
        <w:t xml:space="preserve"> </w:t>
      </w:r>
      <w:r>
        <w:rPr>
          <w:iCs/>
          <w:i/>
          <w:rFonts w:ascii="Times New Roman" w:hAnsi="Times New Roman" w:cs="Times New Roman"/>
        </w:rPr>
        <w:t xml:space="preserve">Eccles v Bryant</w:t>
      </w:r>
      <w:r>
        <w:rPr>
          <w:rFonts w:ascii="Times New Roman" w:hAnsi="Times New Roman" w:cs="Times New Roman"/>
        </w:rPr>
        <w:t xml:space="preserve"> </w:t>
      </w:r>
      <w:r>
        <w:rPr>
          <w:rFonts w:ascii="Times New Roman" w:hAnsi="Times New Roman" w:cs="Times New Roman"/>
        </w:rPr>
        <w:t xml:space="preserve">[1948] Ch 93, 104 (Lord Greene MR).</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w:t>
      </w:r>
      <w:r>
        <w:rPr>
          <w:rFonts w:ascii="Times New Roman" w:hAnsi="Times New Roman" w:cs="Times New Roman"/>
        </w:rPr>
        <w:t xml:space="preserve"> </w:t>
      </w:r>
      <w:r>
        <w:rPr>
          <w:rFonts w:ascii="Times New Roman" w:hAnsi="Times New Roman" w:cs="Times New Roman"/>
        </w:rPr>
        <w:t xml:space="preserve">(n 7) 361.</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Beaton</w:t>
      </w:r>
      <w:r>
        <w:rPr>
          <w:rFonts w:ascii="Times New Roman" w:hAnsi="Times New Roman" w:cs="Times New Roman"/>
        </w:rPr>
        <w:t xml:space="preserve"> </w:t>
      </w:r>
      <w:r>
        <w:rPr>
          <w:rFonts w:ascii="Times New Roman" w:hAnsi="Times New Roman" w:cs="Times New Roman"/>
        </w:rPr>
        <w:t xml:space="preserve">(n 4) 181 (McHugh JA dissenting), quoting</w:t>
      </w:r>
      <w:r>
        <w:rPr>
          <w:rFonts w:ascii="Times New Roman" w:hAnsi="Times New Roman" w:cs="Times New Roman"/>
        </w:rPr>
        <w:t xml:space="preserve"> </w:t>
      </w:r>
      <w:r>
        <w:rPr>
          <w:iCs/>
          <w:i/>
          <w:rFonts w:ascii="Times New Roman" w:hAnsi="Times New Roman" w:cs="Times New Roman"/>
        </w:rPr>
        <w:t xml:space="preserve">Thomas v Thomas</w:t>
      </w:r>
      <w:r>
        <w:rPr>
          <w:rFonts w:ascii="Times New Roman" w:hAnsi="Times New Roman" w:cs="Times New Roman"/>
        </w:rPr>
        <w:t xml:space="preserve"> </w:t>
      </w:r>
      <w:r>
        <w:rPr>
          <w:rFonts w:ascii="Times New Roman" w:hAnsi="Times New Roman" w:cs="Times New Roman"/>
        </w:rPr>
        <w:t xml:space="preserve">(1842) 2 QB 851, 859; 114 ER 330, 333–4 (Patteson J).</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Musumeci v Winadell Pty Ltd</w:t>
      </w:r>
      <w:r>
        <w:rPr>
          <w:rFonts w:ascii="Times New Roman" w:hAnsi="Times New Roman" w:cs="Times New Roman"/>
        </w:rPr>
        <w:t xml:space="preserve"> </w:t>
      </w:r>
      <w:r>
        <w:rPr>
          <w:rFonts w:ascii="Times New Roman" w:hAnsi="Times New Roman" w:cs="Times New Roman"/>
        </w:rPr>
        <w:t xml:space="preserve">(1994) 34 NSWLR 723, 745 (Santow J).</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(1955) 93 CLR 546, 550.</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632 (</w:t>
      </w:r>
      <w:r>
        <w:rPr>
          <w:rFonts w:ascii="Times New Roman" w:hAnsi="Times New Roman" w:cs="Times New Roman"/>
        </w:rPr>
        <w:t xml:space="preserve">‘</w:t>
      </w:r>
      <w:r>
        <w:rPr>
          <w:iCs/>
          <w:i/>
          <w:rFonts w:ascii="Times New Roman" w:hAnsi="Times New Roman" w:cs="Times New Roman"/>
        </w:rPr>
        <w:t xml:space="preserve">Pao On</w:t>
      </w:r>
      <w:r>
        <w:rPr>
          <w:rFonts w:ascii="Times New Roman" w:hAnsi="Times New Roman" w:cs="Times New Roman"/>
        </w:rPr>
        <w:t xml:space="preserve">’</w:t>
      </w:r>
      <w:r>
        <w:rPr>
          <w:rFonts w:ascii="Times New Roman" w:hAnsi="Times New Roman" w:cs="Times New Roman"/>
        </w:rPr>
        <w:t xml:space="preserve">).</w:t>
      </w:r>
    </w:p>
  </w:footnote>
  <w:footnote w:id="6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6) [26] (Gaudron, McHugh, Hayne and Callinan JJ).</w:t>
      </w:r>
    </w:p>
  </w:footnote>
  <w:footnote w:id="6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521–3 (Rogers CJ).</w:t>
      </w:r>
    </w:p>
  </w:footnote>
  <w:footnote w:id="6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6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11) 581–2 (Gibbs CJ).</w:t>
      </w:r>
    </w:p>
  </w:footnote>
  <w:footnote w:id="6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16) 494–5 (Windeyer J dissenting).</w:t>
      </w:r>
    </w:p>
  </w:footnote>
  <w:footnote w:id="6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w:t>
      </w:r>
      <w:r>
        <w:rPr>
          <w:rFonts w:ascii="Times New Roman" w:hAnsi="Times New Roman" w:cs="Times New Roman"/>
        </w:rPr>
        <w:t xml:space="preserve"> </w:t>
      </w:r>
      <w:r>
        <w:rPr>
          <w:rFonts w:ascii="Times New Roman" w:hAnsi="Times New Roman" w:cs="Times New Roman"/>
        </w:rPr>
        <w:t xml:space="preserve">(n 15) 269 (Mason and Jacobs JJ).</w:t>
      </w:r>
    </w:p>
  </w:footnote>
  <w:footnote w:id="7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22) 163–4, 167–8 (Heydon JA).</w:t>
      </w:r>
    </w:p>
  </w:footnote>
  <w:footnote w:id="7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7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11) 582 (Gibbs CJ).</w:t>
      </w:r>
    </w:p>
  </w:footnote>
  <w:footnote w:id="7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35) 437 (Barwick CJ).</w:t>
      </w:r>
    </w:p>
  </w:footnote>
  <w:footnote w:id="7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Beaton</w:t>
      </w:r>
      <w:r>
        <w:rPr>
          <w:rFonts w:ascii="Times New Roman" w:hAnsi="Times New Roman" w:cs="Times New Roman"/>
        </w:rPr>
        <w:t xml:space="preserve"> </w:t>
      </w:r>
      <w:r>
        <w:rPr>
          <w:rFonts w:ascii="Times New Roman" w:hAnsi="Times New Roman" w:cs="Times New Roman"/>
        </w:rPr>
        <w:t xml:space="preserve">(n 4) 185 (McHugh JA dissenting), citing</w:t>
      </w:r>
      <w:r>
        <w:rPr>
          <w:rFonts w:ascii="Times New Roman" w:hAnsi="Times New Roman" w:cs="Times New Roman"/>
        </w:rPr>
        <w:t xml:space="preserve"> </w:t>
      </w:r>
      <w:r>
        <w:rPr>
          <w:iCs/>
          <w:i/>
          <w:rFonts w:ascii="Times New Roman" w:hAnsi="Times New Roman" w:cs="Times New Roman"/>
        </w:rPr>
        <w:t xml:space="preserve">Secured Income Real Estate (Aust) Ltd v St Martins Investments Pty Ltd</w:t>
      </w:r>
      <w:r>
        <w:rPr>
          <w:rFonts w:ascii="Times New Roman" w:hAnsi="Times New Roman" w:cs="Times New Roman"/>
        </w:rPr>
        <w:t xml:space="preserve"> </w:t>
      </w:r>
      <w:r>
        <w:rPr>
          <w:rFonts w:ascii="Times New Roman" w:hAnsi="Times New Roman" w:cs="Times New Roman"/>
        </w:rPr>
        <w:t xml:space="preserve">(1979) 144 CLR 596, 607 (Mason J).</w:t>
      </w:r>
    </w:p>
  </w:footnote>
  <w:footnote w:id="7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w:t>
      </w:r>
      <w:r>
        <w:rPr>
          <w:rFonts w:ascii="Times New Roman" w:hAnsi="Times New Roman" w:cs="Times New Roman"/>
        </w:rPr>
        <w:t xml:space="preserve"> </w:t>
      </w:r>
      <w:r>
        <w:rPr>
          <w:rFonts w:ascii="Times New Roman" w:hAnsi="Times New Roman" w:cs="Times New Roman"/>
        </w:rPr>
        <w:t xml:space="preserve">(n 20) (Deane J).</w:t>
      </w:r>
    </w:p>
  </w:footnote>
  <w:footnote w:id="7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8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536.</w:t>
      </w:r>
    </w:p>
  </w:footnote>
  <w:footnote w:id="8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16) 487 (Taylor and Owen JJ).</w:t>
      </w:r>
    </w:p>
  </w:footnote>
  <w:footnote w:id="8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535–6 (McHugh JA).</w:t>
      </w:r>
    </w:p>
  </w:footnote>
  <w:footnote w:id="8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22) 179 (Heydon JA).</w:t>
      </w:r>
    </w:p>
  </w:footnote>
  <w:footnote w:id="8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w:t>
      </w:r>
    </w:p>
  </w:footnote>
  <w:footnote w:id="8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w:t>
      </w:r>
      <w:r>
        <w:rPr>
          <w:rFonts w:ascii="Times New Roman" w:hAnsi="Times New Roman" w:cs="Times New Roman"/>
        </w:rPr>
        <w:t xml:space="preserve"> </w:t>
      </w:r>
      <w:r>
        <w:rPr>
          <w:rFonts w:ascii="Times New Roman" w:hAnsi="Times New Roman" w:cs="Times New Roman"/>
        </w:rPr>
        <w:t xml:space="preserve">(n 32) 629–30.</w:t>
      </w:r>
    </w:p>
  </w:footnote>
  <w:footnote w:id="8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8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26) 456–7.</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2026-10-11T07:54:00Z</dcterms:created>
  <dcterms:modified xsi:type="dcterms:W3CDTF">2026-10-11T07:54:00Z</dcterms:modified>
</cp:coreProperties>
</file>

<file path=docProps/custom.xml><?xml version="1.0" encoding="utf-8"?>
<Properties xmlns="http://schemas.openxmlformats.org/officeDocument/2006/custom-properties" xmlns:vt="http://schemas.openxmlformats.org/officeDocument/2006/docPropsVTypes"/>
</file>