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rocky-v-grace"/>
    <w:p>
      <w:pPr>
        <w:pStyle w:val="Heading2"/>
      </w:pPr>
      <w:r>
        <w:rPr>
          <w:rFonts w:ascii="Times New Roman" w:hAnsi="Times New Roman"/>
        </w:rPr>
        <w:t xml:space="preserve">I. ROCKY v GRACE</w:t>
      </w:r>
    </w:p>
    <w:bookmarkStart w:id="22" w:name="a.-offer"/>
    <w:p>
      <w:pPr>
        <w:pStyle w:val="Heading3"/>
      </w:pPr>
      <w:r>
        <w:rPr>
          <w:rFonts w:ascii="Times New Roman" w:hAnsi="Times New Roman"/>
        </w:rPr>
        <w:t xml:space="preserve">A. Offer</w:t>
      </w:r>
    </w:p>
    <w:p>
      <w:pPr>
        <w:pStyle w:val="FirstParagraph"/>
      </w:pPr>
      <w:r>
        <w:rPr>
          <w:rFonts w:ascii="Times New Roman" w:hAnsi="Times New Roman"/>
          <w:sz w:val="24"/>
        </w:rPr>
        <w:t xml:space="preserve">On 5 February Grace’s proposal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that Rocky offer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loan was an invitation to treat.</w:t>
      </w:r>
      <w:r>
        <w:rPr>
          <w:rStyle w:val="FootnoteReference"/>
          <w:rFonts w:ascii="Times New Roman" w:hAnsi="Times New Roman"/>
          <w:sz w:val="24"/>
        </w:rPr>
        <w:footnoteReference w:id="20"/>
      </w:r>
      <w:r>
        <w:rPr>
          <w:rFonts w:ascii="Times New Roman" w:hAnsi="Times New Roman"/>
          <w:sz w:val="24"/>
        </w:rPr>
        <w:t xml:space="preserve"> </w:t>
      </w:r>
      <w:r>
        <w:rPr>
          <w:rFonts w:ascii="Times New Roman" w:hAnsi="Times New Roman"/>
          <w:sz w:val="24"/>
        </w:rPr>
        <w:t xml:space="preserve">The 12 February email’s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Confirming discussions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suggests a record; however, its first bullet,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lend</w:t>
      </w:r>
      <w:r>
        <w:rPr>
          <w:rFonts w:ascii="Times New Roman" w:hAnsi="Times New Roman"/>
          <w:sz w:val="24"/>
        </w:rPr>
        <w:t xml:space="preserve">’</w:t>
      </w:r>
      <w:r>
        <w:rPr>
          <w:rFonts w:ascii="Times New Roman" w:hAnsi="Times New Roman"/>
          <w:sz w:val="24"/>
        </w:rPr>
        <w:t xml:space="preserve">, fixes amount, date, term and rate,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Please 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invites assent. Unlike</w:t>
      </w:r>
      <w:r>
        <w:rPr>
          <w:rFonts w:ascii="Times New Roman" w:hAnsi="Times New Roman"/>
          <w:sz w:val="24"/>
        </w:rPr>
        <w:t xml:space="preserve"> </w:t>
      </w:r>
      <w:r>
        <w:rPr>
          <w:iCs/>
          <w:rFonts w:ascii="Times New Roman" w:hAnsi="Times New Roman"/>
          <w:i/>
          <w:sz w:val="24"/>
        </w:rPr>
        <w:t xml:space="preserve">Gibson</w:t>
      </w:r>
      <w:r>
        <w:rPr>
          <w:rFonts w:ascii="Times New Roman" w:hAnsi="Times New Roman"/>
          <w:sz w:val="24"/>
        </w:rPr>
        <w:t xml:space="preserv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may be prepared to sell</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1"/>
      </w:r>
      <w:r>
        <w:rPr>
          <w:rFonts w:ascii="Times New Roman" w:hAnsi="Times New Roman"/>
          <w:sz w:val="24"/>
        </w:rPr>
        <w:t xml:space="preserve"> </w:t>
      </w:r>
      <w:r>
        <w:rPr>
          <w:rFonts w:ascii="Times New Roman" w:hAnsi="Times New Roman"/>
          <w:sz w:val="24"/>
        </w:rPr>
        <w:t xml:space="preserve">these words show readiness to be bound;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satisfactory conditions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goes to intention and certainty. Rocky’s first bullet is therefore likely an offer in form.</w:t>
      </w:r>
    </w:p>
    <w:bookmarkEnd w:id="22"/>
    <w:bookmarkStart w:id="25" w:name="b.-acceptance"/>
    <w:p>
      <w:pPr>
        <w:pStyle w:val="Heading3"/>
      </w:pPr>
      <w:r>
        <w:rPr>
          <w:rFonts w:ascii="Times New Roman" w:hAnsi="Times New Roman"/>
        </w:rPr>
        <w:t xml:space="preserve">B. Acceptance</w:t>
      </w:r>
    </w:p>
    <w:p>
      <w:pPr>
        <w:pStyle w:val="FirstParagraph"/>
      </w:pPr>
      <w:r>
        <w:rPr>
          <w:rFonts w:ascii="Times New Roman" w:hAnsi="Times New Roman"/>
          <w:sz w:val="24"/>
        </w:rPr>
        <w:t xml:space="preserve">Grace may say his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echoing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Confirming discussions</w:t>
      </w:r>
      <w:r>
        <w:rPr>
          <w:rFonts w:ascii="Times New Roman" w:hAnsi="Times New Roman"/>
          <w:sz w:val="24"/>
        </w:rPr>
        <w:t xml:space="preserve">’</w:t>
      </w:r>
      <w:r>
        <w:rPr>
          <w:rFonts w:ascii="Times New Roman" w:hAnsi="Times New Roman"/>
          <w:sz w:val="24"/>
        </w:rPr>
        <w:t xml:space="preserve">, confirmed only the record and was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 of assent to an offer</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3"/>
      </w:r>
      <w:r>
        <w:rPr>
          <w:rFonts w:ascii="Times New Roman" w:hAnsi="Times New Roman"/>
          <w:sz w:val="24"/>
        </w:rPr>
        <w:t xml:space="preserve"> </w:t>
      </w:r>
      <w:r>
        <w:rPr>
          <w:rFonts w:ascii="Times New Roman" w:hAnsi="Times New Roman"/>
          <w:sz w:val="24"/>
        </w:rPr>
        <w:t xml:space="preserve">Yet the reply answered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Please confirm agreement</w:t>
      </w:r>
      <w:r>
        <w:rPr>
          <w:rFonts w:ascii="Times New Roman" w:hAnsi="Times New Roman"/>
          <w:sz w:val="24"/>
        </w:rPr>
        <w:t xml:space="preserve">’</w:t>
      </w:r>
      <w:r>
        <w:rPr>
          <w:rFonts w:ascii="Times New Roman" w:hAnsi="Times New Roman"/>
          <w:sz w:val="24"/>
        </w:rPr>
        <w:t xml:space="preserve">, a request to agree, not to vouch for accuracy, so it objectively signals agreement; adding no term, it was no counter-offer.</w:t>
      </w:r>
      <w:r>
        <w:rPr>
          <w:rStyle w:val="FootnoteReference"/>
          <w:rFonts w:ascii="Times New Roman" w:hAnsi="Times New Roman"/>
          <w:sz w:val="24"/>
        </w:rPr>
        <w:footnoteReference w:id="24"/>
      </w:r>
      <w:r>
        <w:rPr>
          <w:rFonts w:ascii="Times New Roman" w:hAnsi="Times New Roman"/>
          <w:sz w:val="24"/>
        </w:rPr>
        <w:t xml:space="preserve"> </w:t>
      </w:r>
      <w:r>
        <w:rPr>
          <w:rFonts w:ascii="Times New Roman" w:hAnsi="Times New Roman"/>
          <w:sz w:val="24"/>
        </w:rPr>
        <w:t xml:space="preserve">Grace accordingly likely accepted the first bullet with its qualifier.</w:t>
      </w:r>
    </w:p>
    <w:bookmarkEnd w:id="25"/>
    <w:bookmarkStart w:id="27" w:name="c.-consideration"/>
    <w:p>
      <w:pPr>
        <w:pStyle w:val="Heading3"/>
      </w:pPr>
      <w:r>
        <w:rPr>
          <w:rFonts w:ascii="Times New Roman" w:hAnsi="Times New Roman"/>
        </w:rPr>
        <w:t xml:space="preserve">C. Consideration</w:t>
      </w:r>
    </w:p>
    <w:p>
      <w:pPr>
        <w:pStyle w:val="FirstParagraph"/>
      </w:pPr>
      <w:r>
        <w:rPr>
          <w:rFonts w:ascii="Times New Roman" w:hAnsi="Times New Roman"/>
          <w:sz w:val="24"/>
        </w:rPr>
        <w:t xml:space="preserve">By accepting, Grace impliedly promised repayment 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5% interest</w:t>
      </w:r>
      <w:r>
        <w:rPr>
          <w:rFonts w:ascii="Times New Roman" w:hAnsi="Times New Roman"/>
          <w:sz w:val="24"/>
        </w:rPr>
        <w:t xml:space="preserve">’</w:t>
      </w:r>
      <w:r>
        <w:rPr>
          <w:rFonts w:ascii="Times New Roman" w:hAnsi="Times New Roman"/>
          <w:sz w:val="24"/>
        </w:rPr>
        <w:t xml:space="preserve">, the price of Rocky’s promise,</w:t>
      </w:r>
      <w:r>
        <w:rPr>
          <w:rStyle w:val="FootnoteReference"/>
          <w:rFonts w:ascii="Times New Roman" w:hAnsi="Times New Roman"/>
          <w:sz w:val="24"/>
        </w:rPr>
        <w:footnoteReference w:id="26"/>
      </w:r>
      <w:r>
        <w:rPr>
          <w:rFonts w:ascii="Times New Roman" w:hAnsi="Times New Roman"/>
          <w:sz w:val="24"/>
        </w:rPr>
        <w:t xml:space="preserve"> </w:t>
      </w:r>
      <w:r>
        <w:rPr>
          <w:rFonts w:ascii="Times New Roman" w:hAnsi="Times New Roman"/>
          <w:sz w:val="24"/>
        </w:rPr>
        <w:t xml:space="preserve">unless that promise was illusory.</w:t>
      </w:r>
    </w:p>
    <w:bookmarkEnd w:id="27"/>
    <w:bookmarkStart w:id="32" w:name="d.-intention-to-create-legal-relations"/>
    <w:p>
      <w:pPr>
        <w:pStyle w:val="Heading3"/>
      </w:pPr>
      <w:r>
        <w:rPr>
          <w:rFonts w:ascii="Times New Roman" w:hAnsi="Times New Roman"/>
        </w:rPr>
        <w:t xml:space="preserve">D. Intention to create legal relations</w:t>
      </w:r>
    </w:p>
    <w:p>
      <w:pPr>
        <w:pStyle w:val="FirstParagraph"/>
      </w:pPr>
      <w:r>
        <w:rPr>
          <w:rFonts w:ascii="Times New Roman" w:hAnsi="Times New Roman"/>
          <w:sz w:val="24"/>
        </w:rPr>
        <w:t xml:space="preserve">Intention, assessed objectively, weighs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status of the parties</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8"/>
      </w:r>
      <w:r>
        <w:rPr>
          <w:rFonts w:ascii="Times New Roman" w:hAnsi="Times New Roman"/>
          <w:sz w:val="24"/>
        </w:rPr>
        <w:t xml:space="preserve"> </w:t>
      </w:r>
      <w:r>
        <w:rPr>
          <w:rFonts w:ascii="Times New Roman" w:hAnsi="Times New Roman"/>
          <w:sz w:val="24"/>
        </w:rPr>
        <w:t xml:space="preserve">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project developers</w:t>
      </w:r>
      <w:r>
        <w:rPr>
          <w:rFonts w:ascii="Times New Roman" w:hAnsi="Times New Roman"/>
          <w:sz w:val="24"/>
        </w:rPr>
        <w:t xml:space="preserve">’</w:t>
      </w:r>
      <w:r>
        <w:rPr>
          <w:rFonts w:ascii="Times New Roman" w:hAnsi="Times New Roman"/>
          <w:sz w:val="24"/>
        </w:rPr>
        <w:t xml:space="preserve">, Rocky and Grace dealt commercially, favouring intention. Against it, the qualifier raises the preliminary agreement question; no formal contract being stipulated, it is whether the terms were to be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put into form</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a new agreement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9"/>
      </w:r>
      <w:r>
        <w:rPr>
          <w:rFonts w:ascii="Times New Roman" w:hAnsi="Times New Roman"/>
          <w:sz w:val="24"/>
        </w:rPr>
        <w:t xml:space="preserve"> </w:t>
      </w:r>
      <w:r>
        <w:rPr>
          <w:rFonts w:ascii="Times New Roman" w:hAnsi="Times New Roman"/>
          <w:sz w:val="24"/>
        </w:rPr>
        <w:t xml:space="preserve">Amount, date, term and rate being fixed, the qualifier may condition only performance, not agreement, as signing conditioned payment in</w:t>
      </w:r>
      <w:r>
        <w:rPr>
          <w:rFonts w:ascii="Times New Roman" w:hAnsi="Times New Roman"/>
          <w:sz w:val="24"/>
        </w:rPr>
        <w:t xml:space="preserve"> </w:t>
      </w:r>
      <w:r>
        <w:rPr>
          <w:iCs/>
          <w:rFonts w:ascii="Times New Roman" w:hAnsi="Times New Roman"/>
          <w:i/>
          <w:sz w:val="24"/>
        </w:rPr>
        <w:t xml:space="preserve">Niesmann</w:t>
      </w:r>
      <w:r>
        <w:rPr>
          <w:rFonts w:ascii="Times New Roman" w:hAnsi="Times New Roman"/>
          <w:sz w:val="24"/>
        </w:rPr>
        <w:t xml:space="preserve">.</w:t>
      </w:r>
      <w:r>
        <w:rPr>
          <w:rStyle w:val="FootnoteReference"/>
          <w:rFonts w:ascii="Times New Roman" w:hAnsi="Times New Roman"/>
          <w:sz w:val="24"/>
        </w:rPr>
        <w:footnoteReference w:id="30"/>
      </w:r>
      <w:r>
        <w:rPr>
          <w:rFonts w:ascii="Times New Roman" w:hAnsi="Times New Roman"/>
          <w:sz w:val="24"/>
        </w:rPr>
        <w:t xml:space="preserve"> </w:t>
      </w:r>
      <w:r>
        <w:rPr>
          <w:rFonts w:ascii="Times New Roman" w:hAnsi="Times New Roman"/>
          <w:sz w:val="24"/>
        </w:rPr>
        <w:t xml:space="preserve">Yet each party there was impliedly bound to sign,</w:t>
      </w:r>
      <w:r>
        <w:rPr>
          <w:rStyle w:val="FootnoteReference"/>
          <w:rFonts w:ascii="Times New Roman" w:hAnsi="Times New Roman"/>
          <w:sz w:val="24"/>
        </w:rPr>
        <w:footnoteReference w:id="31"/>
      </w:r>
      <w:r>
        <w:rPr>
          <w:rFonts w:ascii="Times New Roman" w:hAnsi="Times New Roman"/>
          <w:sz w:val="24"/>
        </w:rPr>
        <w:t xml:space="preserve"> </w:t>
      </w:r>
      <w:r>
        <w:rPr>
          <w:rFonts w:ascii="Times New Roman" w:hAnsi="Times New Roman"/>
          <w:sz w:val="24"/>
        </w:rPr>
        <w:t xml:space="preserve">whereas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satisfactory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names no external event and qualifies Rocky’s own promise, so the conditions are likely further loan terms he would set. On balance, the parties likely did not intend to be bound, unless the conditions were settled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this morning</w:t>
      </w:r>
      <w:r>
        <w:rPr>
          <w:rFonts w:ascii="Times New Roman" w:hAnsi="Times New Roman"/>
          <w:sz w:val="24"/>
        </w:rPr>
        <w:t xml:space="preserve">’</w:t>
      </w:r>
      <w:r>
        <w:rPr>
          <w:rFonts w:ascii="Times New Roman" w:hAnsi="Times New Roman"/>
          <w:sz w:val="24"/>
        </w:rPr>
        <w:t xml:space="preserve">.</w:t>
      </w:r>
    </w:p>
    <w:bookmarkEnd w:id="32"/>
    <w:bookmarkStart w:id="36" w:name="e.-certainty"/>
    <w:p>
      <w:pPr>
        <w:pStyle w:val="Heading3"/>
      </w:pPr>
      <w:r>
        <w:rPr>
          <w:rFonts w:ascii="Times New Roman" w:hAnsi="Times New Roman"/>
        </w:rPr>
        <w:t xml:space="preserve">E. Certainty</w:t>
      </w:r>
    </w:p>
    <w:p>
      <w:pPr>
        <w:pStyle w:val="FirstParagraph"/>
      </w:pPr>
      <w:r>
        <w:rPr>
          <w:rFonts w:ascii="Times New Roman" w:hAnsi="Times New Roman"/>
          <w:sz w:val="24"/>
        </w:rPr>
        <w:t xml:space="preserve">Rocky’s promise is illusory if it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depends upon an unfettered discretion vested in the promisor</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3"/>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w:t>
      </w:r>
      <w:r>
        <w:rPr>
          <w:rFonts w:ascii="Times New Roman" w:hAnsi="Times New Roman"/>
          <w:sz w:val="24"/>
        </w:rPr>
        <w:t xml:space="preserve">is the counter: there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satisfactory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finance had to be honestly judged; yet Gibbs CJ saved only a discretion over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fulfilment of a condition</w:t>
      </w:r>
      <w:r>
        <w:rPr>
          <w:rFonts w:ascii="Times New Roman" w:hAnsi="Times New Roman"/>
          <w:sz w:val="24"/>
        </w:rPr>
        <w:t xml:space="preserve">’</w:t>
      </w:r>
      <w:r>
        <w:rPr>
          <w:rFonts w:ascii="Times New Roman" w:hAnsi="Times New Roman"/>
          <w:sz w:val="24"/>
        </w:rPr>
        <w:t xml:space="preserve">, not over performance,</w:t>
      </w:r>
      <w:r>
        <w:rPr>
          <w:rStyle w:val="FootnoteReference"/>
          <w:rFonts w:ascii="Times New Roman" w:hAnsi="Times New Roman"/>
          <w:sz w:val="24"/>
        </w:rPr>
        <w:footnoteReference w:id="34"/>
      </w:r>
      <w:r>
        <w:rPr>
          <w:rFonts w:ascii="Times New Roman" w:hAnsi="Times New Roman"/>
          <w:sz w:val="24"/>
        </w:rPr>
        <w:t xml:space="preserve"> </w:t>
      </w:r>
      <w:r>
        <w:rPr>
          <w:rFonts w:ascii="Times New Roman" w:hAnsi="Times New Roman"/>
          <w:sz w:val="24"/>
        </w:rPr>
        <w:t xml:space="preserve">and honesty cannot supply further loan terms fixing his performance. Nor does Gibbs J’s obiter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Perhaps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subsidiary matters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left to one party assist:</w:t>
      </w:r>
      <w:r>
        <w:rPr>
          <w:rStyle w:val="FootnoteReference"/>
          <w:rFonts w:ascii="Times New Roman" w:hAnsi="Times New Roman"/>
          <w:sz w:val="24"/>
        </w:rPr>
        <w:footnoteReference w:id="35"/>
      </w:r>
      <w:r>
        <w:rPr>
          <w:rFonts w:ascii="Times New Roman" w:hAnsi="Times New Roman"/>
          <w:sz w:val="24"/>
        </w:rPr>
        <w:t xml:space="preserve"> </w:t>
      </w:r>
      <w:r>
        <w:rPr>
          <w:rFonts w:ascii="Times New Roman" w:hAnsi="Times New Roman"/>
          <w:sz w:val="24"/>
        </w:rPr>
        <w:t xml:space="preserve">these conditions, qualifying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lend</w:t>
      </w:r>
      <w:r>
        <w:rPr>
          <w:rFonts w:ascii="Times New Roman" w:hAnsi="Times New Roman"/>
          <w:sz w:val="24"/>
        </w:rPr>
        <w:t xml:space="preserve">’</w:t>
      </w:r>
      <w:r>
        <w:rPr>
          <w:rFonts w:ascii="Times New Roman" w:hAnsi="Times New Roman"/>
          <w:sz w:val="24"/>
        </w:rPr>
        <w:t xml:space="preserve">, decide whether Rocky lends. His promise is therefore arguably illusory, so the email likely binds neither party, sparing Rocky any claim for not lending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by 15 February</w:t>
      </w:r>
      <w:r>
        <w:rPr>
          <w:rFonts w:ascii="Times New Roman" w:hAnsi="Times New Roman"/>
          <w:sz w:val="24"/>
        </w:rPr>
        <w:t xml:space="preserve">’</w:t>
      </w:r>
      <w:r>
        <w:rPr>
          <w:rFonts w:ascii="Times New Roman" w:hAnsi="Times New Roman"/>
          <w:sz w:val="24"/>
        </w:rPr>
        <w:t xml:space="preserve">.</w:t>
      </w:r>
    </w:p>
    <w:bookmarkEnd w:id="36"/>
    <w:bookmarkStart w:id="43" w:name="f.-privity"/>
    <w:p>
      <w:pPr>
        <w:pStyle w:val="Heading3"/>
      </w:pPr>
      <w:r>
        <w:rPr>
          <w:rFonts w:ascii="Times New Roman" w:hAnsi="Times New Roman"/>
        </w:rPr>
        <w:t xml:space="preserve">F. Privity</w:t>
      </w:r>
    </w:p>
    <w:p>
      <w:pPr>
        <w:pStyle w:val="FirstParagraph"/>
      </w:pPr>
      <w:r>
        <w:rPr>
          <w:rFonts w:ascii="Times New Roman" w:hAnsi="Times New Roman"/>
          <w:sz w:val="24"/>
        </w:rPr>
        <w:t xml:space="preserve">Even if the email bound, Rocky lent under it only if AMPL advanced as his agent, not solely for itself.</w:t>
      </w:r>
      <w:r>
        <w:rPr>
          <w:rStyle w:val="FootnoteReference"/>
          <w:rFonts w:ascii="Times New Roman" w:hAnsi="Times New Roman"/>
          <w:sz w:val="24"/>
        </w:rPr>
        <w:footnoteReference w:id="37"/>
      </w:r>
      <w:r>
        <w:rPr>
          <w:rFonts w:ascii="Times New Roman" w:hAnsi="Times New Roman"/>
          <w:sz w:val="24"/>
        </w:rPr>
        <w:t xml:space="preserve"> </w:t>
      </w:r>
      <w:r>
        <w:rPr>
          <w:rFonts w:ascii="Times New Roman" w:hAnsi="Times New Roman"/>
          <w:sz w:val="24"/>
        </w:rPr>
        <w:t xml:space="preserve">His 27 February request suggests agency; yet AMPL advanced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$1,150,000</w:t>
      </w:r>
      <w:r>
        <w:rPr>
          <w:rFonts w:ascii="Times New Roman" w:hAnsi="Times New Roman"/>
          <w:sz w:val="24"/>
        </w:rPr>
        <w:t xml:space="preserve">’</w:t>
      </w:r>
      <w:r>
        <w:rPr>
          <w:rFonts w:ascii="Times New Roman" w:hAnsi="Times New Roman"/>
          <w:sz w:val="24"/>
        </w:rPr>
        <w:t xml:space="preserve">,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 million</w:t>
      </w:r>
      <w:r>
        <w:rPr>
          <w:rFonts w:ascii="Times New Roman" w:hAnsi="Times New Roman"/>
          <w:sz w:val="24"/>
        </w:rPr>
        <w:t xml:space="preserve">’</w:t>
      </w:r>
      <w:r>
        <w:rPr>
          <w:rFonts w:ascii="Times New Roman" w:hAnsi="Times New Roman"/>
          <w:sz w:val="24"/>
        </w:rPr>
        <w:t xml:space="preserve">, and later took a guarantee of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w:t>
      </w:r>
      <w:r>
        <w:rPr>
          <w:rFonts w:ascii="Times New Roman" w:hAnsi="Times New Roman"/>
          <w:sz w:val="24"/>
        </w:rPr>
        <w:t xml:space="preserve">’</w:t>
      </w:r>
      <w:r>
        <w:rPr>
          <w:rFonts w:ascii="Times New Roman" w:hAnsi="Times New Roman"/>
          <w:sz w:val="24"/>
        </w:rPr>
        <w:t xml:space="preserve">, pointless had it lent as his agent. Rocky therefore likely lent nothing.</w:t>
      </w:r>
    </w:p>
    <w:p>
      <w:pPr>
        <w:pStyle w:val="BodyText"/>
      </w:pPr>
      <w:r>
        <w:rPr>
          <w:rFonts w:ascii="Times New Roman" w:hAnsi="Times New Roman"/>
          <w:sz w:val="24"/>
        </w:rPr>
        <w:t xml:space="preserve">Rocky’s 5 March demand raises privity: only the parties to a contract can sue on it, and a plaintiff must show consideration provided by himself.</w:t>
      </w:r>
      <w:r>
        <w:rPr>
          <w:rStyle w:val="FootnoteReference"/>
          <w:rFonts w:ascii="Times New Roman" w:hAnsi="Times New Roman"/>
          <w:sz w:val="24"/>
        </w:rPr>
        <w:footnoteReference w:id="38"/>
      </w:r>
      <w:r>
        <w:rPr>
          <w:rFonts w:ascii="Times New Roman" w:hAnsi="Times New Roman"/>
          <w:sz w:val="24"/>
        </w:rPr>
        <w:t xml:space="preserve"> </w:t>
      </w:r>
      <w:r>
        <w:rPr>
          <w:rFonts w:ascii="Times New Roman" w:hAnsi="Times New Roman"/>
          <w:sz w:val="24"/>
        </w:rPr>
        <w:t xml:space="preserve">Party status turns 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written instrument itself</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9"/>
      </w:r>
      <w:r>
        <w:rPr>
          <w:rFonts w:ascii="Times New Roman" w:hAnsi="Times New Roman"/>
          <w:sz w:val="24"/>
        </w:rPr>
        <w:t xml:space="preserve"> </w:t>
      </w:r>
      <w:r>
        <w:rPr>
          <w:rFonts w:ascii="Times New Roman" w:hAnsi="Times New Roman"/>
          <w:sz w:val="24"/>
        </w:rPr>
        <w:t xml:space="preserve">which AMPL and Grace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entered into</w:t>
      </w:r>
      <w:r>
        <w:rPr>
          <w:rFonts w:ascii="Times New Roman" w:hAnsi="Times New Roman"/>
          <w:sz w:val="24"/>
        </w:rPr>
        <w:t xml:space="preserve">’</w:t>
      </w:r>
      <w:r>
        <w:rPr>
          <w:rFonts w:ascii="Times New Roman" w:hAnsi="Times New Roman"/>
          <w:sz w:val="24"/>
        </w:rPr>
        <w:t xml:space="preserve">, Grace’s promises there being the price of AMPL’s promise of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12 months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alone. The guarantee clause makes Rocky at most a promisor, not a joint promisee:</w:t>
      </w:r>
      <w:r>
        <w:rPr>
          <w:rStyle w:val="FootnoteReference"/>
          <w:rFonts w:ascii="Times New Roman" w:hAnsi="Times New Roman"/>
          <w:sz w:val="24"/>
        </w:rPr>
        <w:footnoteReference w:id="40"/>
      </w:r>
      <w:r>
        <w:rPr>
          <w:rFonts w:ascii="Times New Roman" w:hAnsi="Times New Roman"/>
          <w:sz w:val="24"/>
        </w:rPr>
        <w:t xml:space="preserve"> </w:t>
      </w:r>
      <w:r>
        <w:rPr>
          <w:rFonts w:ascii="Times New Roman" w:hAnsi="Times New Roman"/>
          <w:sz w:val="24"/>
        </w:rPr>
        <w:t xml:space="preserve">Grace promised him nothing, not even reimbursement for paying AMPL. 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never signed anything with 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therefore defeats the demand, though not for his reason, signature being neither necessary</w:t>
      </w:r>
      <w:r>
        <w:rPr>
          <w:rStyle w:val="FootnoteReference"/>
          <w:rFonts w:ascii="Times New Roman" w:hAnsi="Times New Roman"/>
          <w:sz w:val="24"/>
        </w:rPr>
        <w:footnoteReference w:id="41"/>
      </w:r>
      <w:r>
        <w:rPr>
          <w:rFonts w:ascii="Times New Roman" w:hAnsi="Times New Roman"/>
          <w:sz w:val="24"/>
        </w:rPr>
        <w:t xml:space="preserve"> </w:t>
      </w:r>
      <w:r>
        <w:rPr>
          <w:rFonts w:ascii="Times New Roman" w:hAnsi="Times New Roman"/>
          <w:sz w:val="24"/>
        </w:rPr>
        <w:t xml:space="preserve">nor decisive: Mrs Coulls signed yet was no party.</w:t>
      </w:r>
      <w:r>
        <w:rPr>
          <w:rStyle w:val="FootnoteReference"/>
          <w:rFonts w:ascii="Times New Roman" w:hAnsi="Times New Roman"/>
          <w:sz w:val="24"/>
        </w:rPr>
        <w:footnoteReference w:id="42"/>
      </w:r>
    </w:p>
    <w:bookmarkEnd w:id="43"/>
    <w:bookmarkEnd w:id="44"/>
    <w:bookmarkStart w:id="73" w:name="ii.-rocky-v-ampl-alternatively-pierre"/>
    <w:p>
      <w:pPr>
        <w:pStyle w:val="Heading2"/>
      </w:pPr>
      <w:r>
        <w:rPr>
          <w:rFonts w:ascii="Times New Roman" w:hAnsi="Times New Roman"/>
        </w:rPr>
        <w:t xml:space="preserve">II. ROCKY v AMPL (ALTERNATIVELY PIERRE)</w:t>
      </w:r>
    </w:p>
    <w:bookmarkStart w:id="47" w:name="a.-offer-1"/>
    <w:p>
      <w:pPr>
        <w:pStyle w:val="Heading3"/>
      </w:pPr>
      <w:r>
        <w:rPr>
          <w:rFonts w:ascii="Times New Roman" w:hAnsi="Times New Roman"/>
        </w:rPr>
        <w:t xml:space="preserve">A. Offer</w:t>
      </w:r>
    </w:p>
    <w:p>
      <w:pPr>
        <w:pStyle w:val="FirstParagraph"/>
      </w:pPr>
      <w:r>
        <w:rPr>
          <w:rFonts w:ascii="Times New Roman" w:hAnsi="Times New Roman"/>
          <w:sz w:val="24"/>
        </w:rPr>
        <w:t xml:space="preserve">Pierre’s expectation, promising nothing,</w:t>
      </w:r>
      <w:r>
        <w:rPr>
          <w:rStyle w:val="FootnoteReference"/>
          <w:rFonts w:ascii="Times New Roman" w:hAnsi="Times New Roman"/>
          <w:sz w:val="24"/>
        </w:rPr>
        <w:footnoteReference w:id="45"/>
      </w:r>
      <w:r>
        <w:rPr>
          <w:rFonts w:ascii="Times New Roman" w:hAnsi="Times New Roman"/>
          <w:sz w:val="24"/>
        </w:rPr>
        <w:t xml:space="preserve"> </w:t>
      </w:r>
      <w:r>
        <w:rPr>
          <w:rFonts w:ascii="Times New Roman" w:hAnsi="Times New Roman"/>
          <w:sz w:val="24"/>
        </w:rPr>
        <w:t xml:space="preserve">was likely no offer; 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 if you also promise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sought a return promise, offering a bilateral contract.</w:t>
      </w:r>
      <w:r>
        <w:rPr>
          <w:rStyle w:val="FootnoteReference"/>
          <w:rFonts w:ascii="Times New Roman" w:hAnsi="Times New Roman"/>
          <w:sz w:val="24"/>
        </w:rPr>
        <w:footnoteReference w:id="46"/>
      </w:r>
    </w:p>
    <w:bookmarkEnd w:id="47"/>
    <w:bookmarkStart w:id="50" w:name="b.-acceptance-1"/>
    <w:p>
      <w:pPr>
        <w:pStyle w:val="Heading3"/>
      </w:pPr>
      <w:r>
        <w:rPr>
          <w:rFonts w:ascii="Times New Roman" w:hAnsi="Times New Roman"/>
        </w:rPr>
        <w:t xml:space="preserve">B. Acceptance</w:t>
      </w:r>
    </w:p>
    <w:p>
      <w:pPr>
        <w:pStyle w:val="FirstParagraph"/>
      </w:pPr>
      <w:r>
        <w:rPr>
          <w:rFonts w:ascii="Times New Roman" w:hAnsi="Times New Roman"/>
          <w:sz w:val="24"/>
        </w:rPr>
        <w:t xml:space="preserve">Pierre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agreed</w:t>
      </w:r>
      <w:r>
        <w:rPr>
          <w:rFonts w:ascii="Times New Roman" w:hAnsi="Times New Roman"/>
          <w:sz w:val="24"/>
        </w:rPr>
        <w:t xml:space="preserve">’</w:t>
      </w:r>
      <w:r>
        <w:rPr>
          <w:rFonts w:ascii="Times New Roman" w:hAnsi="Times New Roman"/>
          <w:sz w:val="24"/>
        </w:rPr>
        <w:t xml:space="preserve">, manifesting assent;</w:t>
      </w:r>
      <w:r>
        <w:rPr>
          <w:rStyle w:val="FootnoteReference"/>
          <w:rFonts w:ascii="Times New Roman" w:hAnsi="Times New Roman"/>
          <w:sz w:val="24"/>
        </w:rPr>
        <w:footnoteReference w:id="48"/>
      </w:r>
      <w:r>
        <w:rPr>
          <w:rFonts w:ascii="Times New Roman" w:hAnsi="Times New Roman"/>
          <w:sz w:val="24"/>
        </w:rPr>
        <w:t xml:space="preserve"> </w:t>
      </w:r>
      <w:r>
        <w:rPr>
          <w:rFonts w:ascii="Times New Roman" w:hAnsi="Times New Roman"/>
          <w:sz w:val="24"/>
        </w:rPr>
        <w:t xml:space="preserve">as nothing suggests that Rocky’s bargain awaited the Loan Agreement, which was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signed by Grace and AMPL</w:t>
      </w:r>
      <w:r>
        <w:rPr>
          <w:rFonts w:ascii="Times New Roman" w:hAnsi="Times New Roman"/>
          <w:sz w:val="24"/>
        </w:rPr>
        <w:t xml:space="preserve">’</w:t>
      </w:r>
      <w:r>
        <w:rPr>
          <w:rFonts w:ascii="Times New Roman" w:hAnsi="Times New Roman"/>
          <w:sz w:val="24"/>
        </w:rPr>
        <w:t xml:space="preserve">, or that anyone reserved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right to withdraw</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until signing,</w:t>
      </w:r>
      <w:r>
        <w:rPr>
          <w:rStyle w:val="FootnoteReference"/>
          <w:rFonts w:ascii="Times New Roman" w:hAnsi="Times New Roman"/>
          <w:sz w:val="24"/>
        </w:rPr>
        <w:footnoteReference w:id="49"/>
      </w:r>
      <w:r>
        <w:rPr>
          <w:rFonts w:ascii="Times New Roman" w:hAnsi="Times New Roman"/>
          <w:sz w:val="24"/>
        </w:rPr>
        <w:t xml:space="preserve"> </w:t>
      </w:r>
      <w:r>
        <w:rPr>
          <w:rFonts w:ascii="Times New Roman" w:hAnsi="Times New Roman"/>
          <w:sz w:val="24"/>
        </w:rPr>
        <w:t xml:space="preserve">both promises likely bound at the meeting as one bargain.</w:t>
      </w:r>
    </w:p>
    <w:bookmarkEnd w:id="50"/>
    <w:bookmarkStart w:id="55" w:name="c.-consideration-1"/>
    <w:p>
      <w:pPr>
        <w:pStyle w:val="Heading3"/>
      </w:pPr>
      <w:r>
        <w:rPr>
          <w:rFonts w:ascii="Times New Roman" w:hAnsi="Times New Roman"/>
        </w:rPr>
        <w:t xml:space="preserve">C. Consideration</w:t>
      </w:r>
    </w:p>
    <w:p>
      <w:pPr>
        <w:pStyle w:val="FirstParagraph"/>
      </w:pP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if you also promise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made his undertaking the price of the $10,000 promise.</w:t>
      </w:r>
      <w:r>
        <w:rPr>
          <w:rStyle w:val="FootnoteReference"/>
          <w:rFonts w:ascii="Times New Roman" w:hAnsi="Times New Roman"/>
          <w:sz w:val="24"/>
        </w:rPr>
        <w:footnoteReference w:id="51"/>
      </w:r>
      <w:r>
        <w:rPr>
          <w:rFonts w:ascii="Times New Roman" w:hAnsi="Times New Roman"/>
          <w:sz w:val="24"/>
        </w:rPr>
        <w:t xml:space="preserve"> </w:t>
      </w:r>
      <w:r>
        <w:rPr>
          <w:rFonts w:ascii="Times New Roman" w:hAnsi="Times New Roman"/>
          <w:sz w:val="24"/>
        </w:rPr>
        <w:t xml:space="preserve">AMPL may invoke the existing legal duty rule, reading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also</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 adding to an earlier guarantee, as in</w:t>
      </w:r>
      <w:r>
        <w:rPr>
          <w:rFonts w:ascii="Times New Roman" w:hAnsi="Times New Roman"/>
          <w:sz w:val="24"/>
        </w:rPr>
        <w:t xml:space="preserve"> </w:t>
      </w:r>
      <w:r>
        <w:rPr>
          <w:iCs/>
          <w:rFonts w:ascii="Times New Roman" w:hAnsi="Times New Roman"/>
          <w:i/>
          <w:sz w:val="24"/>
        </w:rPr>
        <w:t xml:space="preserve">Sundell</w:t>
      </w:r>
      <w:r>
        <w:rPr>
          <w:rFonts w:ascii="Times New Roman" w:hAnsi="Times New Roman"/>
          <w:sz w:val="24"/>
        </w:rPr>
        <w:t xml:space="preserve">, where promising to ensure delivery already owed was no consideration.</w:t>
      </w:r>
      <w:r>
        <w:rPr>
          <w:rStyle w:val="FootnoteReference"/>
          <w:rFonts w:ascii="Times New Roman" w:hAnsi="Times New Roman"/>
          <w:sz w:val="24"/>
        </w:rPr>
        <w:footnoteReference w:id="52"/>
      </w:r>
      <w:r>
        <w:rPr>
          <w:rFonts w:ascii="Times New Roman" w:hAnsi="Times New Roman"/>
          <w:sz w:val="24"/>
        </w:rPr>
        <w:t xml:space="preserve"> </w:t>
      </w:r>
      <w:r>
        <w:rPr>
          <w:rFonts w:ascii="Times New Roman" w:hAnsi="Times New Roman"/>
          <w:sz w:val="24"/>
        </w:rPr>
        <w:t xml:space="preserve">Yet the rule presupposes an existing duty, as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pre-existing contract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the promisee.</w:t>
      </w:r>
      <w:r>
        <w:rPr>
          <w:rStyle w:val="FootnoteReference"/>
          <w:rFonts w:ascii="Times New Roman" w:hAnsi="Times New Roman"/>
          <w:sz w:val="24"/>
        </w:rPr>
        <w:footnoteReference w:id="53"/>
      </w:r>
      <w:r>
        <w:rPr>
          <w:rFonts w:ascii="Times New Roman" w:hAnsi="Times New Roman"/>
          <w:sz w:val="24"/>
        </w:rPr>
        <w:t xml:space="preserve"> </w:t>
      </w:r>
      <w:r>
        <w:rPr>
          <w:rFonts w:ascii="Times New Roman" w:hAnsi="Times New Roman"/>
          <w:sz w:val="24"/>
        </w:rPr>
        <w:t xml:space="preserve">Nothing shows Rocky owed one: his 27 February request created no contract,</w:t>
      </w:r>
      <w:r>
        <w:rPr>
          <w:rStyle w:val="FootnoteReference"/>
          <w:rFonts w:ascii="Times New Roman" w:hAnsi="Times New Roman"/>
          <w:sz w:val="24"/>
        </w:rPr>
        <w:footnoteReference w:id="54"/>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Pierre agreed and the clause was included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suggests the clause followed the bargain. Even if a guarantee bound him first, ensuring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payments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were prompt exceeds guaranteeing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Rocky therefore likely gave consideration.</w:t>
      </w:r>
    </w:p>
    <w:bookmarkEnd w:id="55"/>
    <w:bookmarkStart w:id="59" w:name="d.-intention-to-create-legal-relations-1"/>
    <w:p>
      <w:pPr>
        <w:pStyle w:val="Heading3"/>
      </w:pPr>
      <w:r>
        <w:rPr>
          <w:rFonts w:ascii="Times New Roman" w:hAnsi="Times New Roman"/>
        </w:rPr>
        <w:t xml:space="preserve">D. Intention to create legal relations</w:t>
      </w:r>
    </w:p>
    <w:p>
      <w:pPr>
        <w:pStyle w:val="FirstParagraph"/>
      </w:pPr>
      <w:r>
        <w:rPr>
          <w:iCs/>
          <w:rFonts w:ascii="Times New Roman" w:hAnsi="Times New Roman"/>
          <w:i/>
          <w:sz w:val="24"/>
        </w:rPr>
        <w:t xml:space="preserve">Ermogenous</w:t>
      </w:r>
      <w:r>
        <w:rPr>
          <w:rFonts w:ascii="Times New Roman" w:hAnsi="Times New Roman"/>
          <w:sz w:val="24"/>
        </w:rPr>
        <w:t xml:space="preserve"> </w:t>
      </w:r>
      <w:r>
        <w:rPr>
          <w:rFonts w:ascii="Times New Roman" w:hAnsi="Times New Roman"/>
          <w:sz w:val="24"/>
        </w:rPr>
        <w:t xml:space="preserve">doubts the utility of presumptions, so cousinhood raises none; Rocky, asserting the contract, bears the onus.</w:t>
      </w:r>
      <w:r>
        <w:rPr>
          <w:rStyle w:val="FootnoteReference"/>
          <w:rFonts w:ascii="Times New Roman" w:hAnsi="Times New Roman"/>
          <w:sz w:val="24"/>
        </w:rPr>
        <w:footnoteReference w:id="56"/>
      </w:r>
      <w:r>
        <w:rPr>
          <w:rFonts w:ascii="Times New Roman" w:hAnsi="Times New Roman"/>
          <w:sz w:val="24"/>
        </w:rPr>
        <w:t xml:space="preserve"> </w:t>
      </w:r>
      <w:r>
        <w:rPr>
          <w:rFonts w:ascii="Times New Roman" w:hAnsi="Times New Roman"/>
          <w:sz w:val="24"/>
        </w:rPr>
        <w:t xml:space="preserve">Against intention, his undertaking resembles a letter of comfort and induced no lending, AMPL having already advanced, unlike the letter in</w:t>
      </w:r>
      <w:r>
        <w:rPr>
          <w:rFonts w:ascii="Times New Roman" w:hAnsi="Times New Roman"/>
          <w:sz w:val="24"/>
        </w:rPr>
        <w:t xml:space="preserve"> </w:t>
      </w:r>
      <w:r>
        <w:rPr>
          <w:iCs/>
          <w:rFonts w:ascii="Times New Roman" w:hAnsi="Times New Roman"/>
          <w:i/>
          <w:sz w:val="24"/>
        </w:rPr>
        <w:t xml:space="preserve">Banque Brussels</w:t>
      </w:r>
      <w:r>
        <w:rPr>
          <w:rFonts w:ascii="Times New Roman" w:hAnsi="Times New Roman"/>
          <w:sz w:val="24"/>
        </w:rPr>
        <w:t xml:space="preserve">, sought as a condition of the facility.</w:t>
      </w:r>
      <w:r>
        <w:rPr>
          <w:rStyle w:val="FootnoteReference"/>
          <w:rFonts w:ascii="Times New Roman" w:hAnsi="Times New Roman"/>
          <w:sz w:val="24"/>
        </w:rPr>
        <w:footnoteReference w:id="57"/>
      </w:r>
      <w:r>
        <w:rPr>
          <w:rFonts w:ascii="Times New Roman" w:hAnsi="Times New Roman"/>
          <w:sz w:val="24"/>
        </w:rPr>
        <w:t xml:space="preserve"> </w:t>
      </w:r>
      <w:r>
        <w:rPr>
          <w:rFonts w:ascii="Times New Roman" w:hAnsi="Times New Roman"/>
          <w:sz w:val="24"/>
        </w:rPr>
        <w:t xml:space="preserve">However, business statements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appropriately promissory in character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should be enforced absent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clear indication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otherwise.</w:t>
      </w:r>
      <w:r>
        <w:rPr>
          <w:rStyle w:val="FootnoteReference"/>
          <w:rFonts w:ascii="Times New Roman" w:hAnsi="Times New Roman"/>
          <w:sz w:val="24"/>
        </w:rPr>
        <w:footnoteReference w:id="58"/>
      </w:r>
      <w:r>
        <w:rPr>
          <w:rFonts w:ascii="Times New Roman" w:hAnsi="Times New Roman"/>
          <w:sz w:val="24"/>
        </w:rPr>
        <w:t xml:space="preserve"> </w:t>
      </w: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was such a statement, priced 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$10,000</w:t>
      </w:r>
      <w:r>
        <w:rPr>
          <w:rFonts w:ascii="Times New Roman" w:hAnsi="Times New Roman"/>
          <w:sz w:val="24"/>
        </w:rPr>
        <w:t xml:space="preserve">’</w:t>
      </w:r>
      <w:r>
        <w:rPr>
          <w:rFonts w:ascii="Times New Roman" w:hAnsi="Times New Roman"/>
          <w:sz w:val="24"/>
        </w:rPr>
        <w:t xml:space="preserve">, so intention, binding him too, is likely present even if Pierre promised, the price outweighing cousinhood.</w:t>
      </w:r>
    </w:p>
    <w:bookmarkEnd w:id="59"/>
    <w:bookmarkStart w:id="62" w:name="e.-certainty-1"/>
    <w:p>
      <w:pPr>
        <w:pStyle w:val="Heading3"/>
      </w:pPr>
      <w:r>
        <w:rPr>
          <w:rFonts w:ascii="Times New Roman" w:hAnsi="Times New Roman"/>
        </w:rPr>
        <w:t xml:space="preserve">E. Certainty</w:t>
      </w:r>
    </w:p>
    <w:p>
      <w:pPr>
        <w:pStyle w:val="FirstParagraph"/>
      </w:pPr>
      <w:r>
        <w:rPr>
          <w:rFonts w:ascii="Times New Roman" w:hAnsi="Times New Roman"/>
          <w:sz w:val="24"/>
        </w:rPr>
        <w:t xml:space="preserve">Ensuring prompt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payments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is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 obscure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 to fail,</w:t>
      </w:r>
      <w:r>
        <w:rPr>
          <w:rStyle w:val="FootnoteReference"/>
          <w:rFonts w:ascii="Times New Roman" w:hAnsi="Times New Roman"/>
          <w:sz w:val="24"/>
        </w:rPr>
        <w:footnoteReference w:id="60"/>
      </w:r>
      <w:r>
        <w:rPr>
          <w:rFonts w:ascii="Times New Roman" w:hAnsi="Times New Roman"/>
          <w:sz w:val="24"/>
        </w:rPr>
        <w:t xml:space="preserve"> </w:t>
      </w:r>
      <w:r>
        <w:rPr>
          <w:rFonts w:ascii="Times New Roman" w:hAnsi="Times New Roman"/>
          <w:sz w:val="24"/>
        </w:rPr>
        <w:t xml:space="preserve">nor is AMPL’s promise, turning on Grace’s repayment, illusory.</w:t>
      </w:r>
      <w:r>
        <w:rPr>
          <w:rStyle w:val="FootnoteReference"/>
          <w:rFonts w:ascii="Times New Roman" w:hAnsi="Times New Roman"/>
          <w:sz w:val="24"/>
        </w:rPr>
        <w:footnoteReference w:id="61"/>
      </w:r>
    </w:p>
    <w:bookmarkEnd w:id="62"/>
    <w:bookmarkStart w:id="65" w:name="f.-privity-1"/>
    <w:p>
      <w:pPr>
        <w:pStyle w:val="Heading3"/>
      </w:pPr>
      <w:r>
        <w:rPr>
          <w:rFonts w:ascii="Times New Roman" w:hAnsi="Times New Roman"/>
        </w:rPr>
        <w:t xml:space="preserve">F. Privity</w:t>
      </w:r>
    </w:p>
    <w:p>
      <w:pPr>
        <w:pStyle w:val="FirstParagraph"/>
      </w:pPr>
      <w:r>
        <w:rPr>
          <w:rFonts w:ascii="Times New Roman" w:hAnsi="Times New Roman"/>
          <w:sz w:val="24"/>
        </w:rPr>
        <w:t xml:space="preserve">Who promised turns on agency: whether Pierre, with AMPL’s authority, contracted for AMPL, not solely for himself.</w:t>
      </w:r>
      <w:r>
        <w:rPr>
          <w:rStyle w:val="FootnoteReference"/>
          <w:rFonts w:ascii="Times New Roman" w:hAnsi="Times New Roman"/>
          <w:sz w:val="24"/>
        </w:rPr>
        <w:footnoteReference w:id="63"/>
      </w:r>
      <w:r>
        <w:rPr>
          <w:rFonts w:ascii="Times New Roman" w:hAnsi="Times New Roman"/>
          <w:sz w:val="24"/>
        </w:rPr>
        <w:t xml:space="preserve"> </w:t>
      </w: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points to Pierre; however, Pierre’s control of AMPL likely gave him authority, and he spoke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 AMPL’s office</w:t>
      </w:r>
      <w:r>
        <w:rPr>
          <w:rFonts w:ascii="Times New Roman" w:hAnsi="Times New Roman"/>
          <w:sz w:val="24"/>
        </w:rPr>
        <w:t xml:space="preserve">’</w:t>
      </w:r>
      <w:r>
        <w:rPr>
          <w:rFonts w:ascii="Times New Roman" w:hAnsi="Times New Roman"/>
          <w:sz w:val="24"/>
        </w:rPr>
        <w:t xml:space="preserve">. AMPL therefore likely promised, unless Pierre said he spoke for himself; either way Rocky, the promisee, gave consideration, so privity is no bar.</w:t>
      </w:r>
      <w:r>
        <w:rPr>
          <w:rStyle w:val="FootnoteReference"/>
          <w:rFonts w:ascii="Times New Roman" w:hAnsi="Times New Roman"/>
          <w:sz w:val="24"/>
        </w:rPr>
        <w:footnoteReference w:id="64"/>
      </w:r>
    </w:p>
    <w:bookmarkEnd w:id="65"/>
    <w:bookmarkStart w:id="69" w:name="g.-condition-precedent"/>
    <w:p>
      <w:pPr>
        <w:pStyle w:val="Heading3"/>
      </w:pPr>
      <w:r>
        <w:rPr>
          <w:rFonts w:ascii="Times New Roman" w:hAnsi="Times New Roman"/>
        </w:rPr>
        <w:t xml:space="preserve">G. Condition precedent</w:t>
      </w:r>
    </w:p>
    <w:p>
      <w:pPr>
        <w:pStyle w:val="FirstParagraph"/>
      </w:pP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once Grace repays the Loan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conditions payment, not formation: obligations attach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immediately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though a condition is unfulfilled.</w:t>
      </w:r>
      <w:r>
        <w:rPr>
          <w:rStyle w:val="FootnoteReference"/>
          <w:rFonts w:ascii="Times New Roman" w:hAnsi="Times New Roman"/>
          <w:sz w:val="24"/>
        </w:rPr>
        <w:footnoteReference w:id="66"/>
      </w:r>
      <w:r>
        <w:rPr>
          <w:rFonts w:ascii="Times New Roman" w:hAnsi="Times New Roman"/>
          <w:sz w:val="24"/>
        </w:rPr>
        <w:t xml:space="preserve"> </w:t>
      </w:r>
      <w:r>
        <w:rPr>
          <w:rFonts w:ascii="Times New Roman" w:hAnsi="Times New Roman"/>
          <w:sz w:val="24"/>
        </w:rPr>
        <w:t xml:space="preserve">As Grace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had not yet repaid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 9 March 2025, nothing is payable. Read commercially, Rocky would say, the term rewards repayment by whoever pays;</w:t>
      </w:r>
      <w:r>
        <w:rPr>
          <w:rStyle w:val="FootnoteReference"/>
          <w:rFonts w:ascii="Times New Roman" w:hAnsi="Times New Roman"/>
          <w:sz w:val="24"/>
        </w:rPr>
        <w:footnoteReference w:id="67"/>
      </w:r>
      <w:r>
        <w:rPr>
          <w:rFonts w:ascii="Times New Roman" w:hAnsi="Times New Roman"/>
          <w:sz w:val="24"/>
        </w:rPr>
        <w:t xml:space="preserve"> </w:t>
      </w:r>
      <w:r>
        <w:rPr>
          <w:rFonts w:ascii="Times New Roman" w:hAnsi="Times New Roman"/>
          <w:sz w:val="24"/>
        </w:rPr>
        <w:t xml:space="preserve">yet his words name Grace. Nor does AMPL’s duty to co-operate,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to do everything necessary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his benefit, assist him:</w:t>
      </w:r>
      <w:r>
        <w:rPr>
          <w:rStyle w:val="FootnoteReference"/>
          <w:rFonts w:ascii="Times New Roman" w:hAnsi="Times New Roman"/>
          <w:sz w:val="24"/>
        </w:rPr>
        <w:footnoteReference w:id="68"/>
      </w:r>
      <w:r>
        <w:rPr>
          <w:rFonts w:ascii="Times New Roman" w:hAnsi="Times New Roman"/>
          <w:sz w:val="24"/>
        </w:rPr>
        <w:t xml:space="preserve"> </w:t>
      </w:r>
      <w:r>
        <w:rPr>
          <w:rFonts w:ascii="Times New Roman" w:hAnsi="Times New Roman"/>
          <w:sz w:val="24"/>
        </w:rPr>
        <w:t xml:space="preserve">nothing suggests its call stops Grace repaying. Decisively, the $10,000 was the price of his ensuring that Grace paid, so if Rocky pays in Grace’s place, he likely loses it.</w:t>
      </w:r>
    </w:p>
    <w:bookmarkEnd w:id="69"/>
    <w:bookmarkStart w:id="72" w:name="h.-construction"/>
    <w:p>
      <w:pPr>
        <w:pStyle w:val="Heading3"/>
      </w:pPr>
      <w:r>
        <w:rPr>
          <w:rFonts w:ascii="Times New Roman" w:hAnsi="Times New Roman"/>
        </w:rPr>
        <w:t xml:space="preserve">H. Construction</w:t>
      </w:r>
    </w:p>
    <w:p>
      <w:pPr>
        <w:pStyle w:val="FirstParagraph"/>
      </w:pPr>
      <w:r>
        <w:rPr>
          <w:rFonts w:ascii="Times New Roman" w:hAnsi="Times New Roman"/>
          <w:sz w:val="24"/>
        </w:rPr>
        <w:t xml:space="preserve">Whether the call was premature turns on when the Loan’s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12 months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began. Construed objectively, the term admits surrounding circumstances only if ambiguous, and never post-contractual conduct;</w:t>
      </w:r>
      <w:r>
        <w:rPr>
          <w:rStyle w:val="FootnoteReference"/>
          <w:rFonts w:ascii="Times New Roman" w:hAnsi="Times New Roman"/>
          <w:sz w:val="24"/>
        </w:rPr>
        <w:footnoteReference w:id="70"/>
      </w:r>
      <w:r>
        <w:rPr>
          <w:rFonts w:ascii="Times New Roman" w:hAnsi="Times New Roman"/>
          <w:sz w:val="24"/>
        </w:rPr>
        <w:t xml:space="preserve"> </w:t>
      </w:r>
      <w:r>
        <w:rPr>
          <w:rFonts w:ascii="Times New Roman" w:hAnsi="Times New Roman"/>
          <w:sz w:val="24"/>
        </w:rPr>
        <w:t xml:space="preserve">fixing, as described, no start in an instrument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loan already advanced, it is arguably ambiguous, admitting the advance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genesis of the transaction</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71"/>
      </w:r>
      <w:r>
        <w:rPr>
          <w:rFonts w:ascii="Times New Roman" w:hAnsi="Times New Roman"/>
          <w:sz w:val="24"/>
        </w:rPr>
        <w:t xml:space="preserve"> </w:t>
      </w:r>
      <w:r>
        <w:rPr>
          <w:rFonts w:ascii="Times New Roman" w:hAnsi="Times New Roman"/>
          <w:sz w:val="24"/>
        </w:rPr>
        <w:t xml:space="preserve">For 27 February, the period attaches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Loan</w:t>
      </w:r>
      <w:r>
        <w:rPr>
          <w:rFonts w:ascii="Times New Roman" w:hAnsi="Times New Roman"/>
          <w:sz w:val="24"/>
        </w:rPr>
        <w:t xml:space="preserve">’</w:t>
      </w:r>
      <w:r>
        <w:rPr>
          <w:rFonts w:ascii="Times New Roman" w:hAnsi="Times New Roman"/>
          <w:sz w:val="24"/>
        </w:rPr>
        <w:t xml:space="preserve">, advanced that day. For 8 April, the Loan Agreement, monthly interest included, was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entered into</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that day; yet interest from when its rate was fixed fits equally a repayment period from the advance. The period therefore arguably ran from 27 February, so the call was not premature; if it ran from 8 April, it was, though interest is shown paid only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8 February 2025</w:t>
      </w:r>
      <w:r>
        <w:rPr>
          <w:rFonts w:ascii="Times New Roman" w:hAnsi="Times New Roman"/>
          <w:sz w:val="24"/>
        </w:rPr>
        <w:t xml:space="preserve">’</w:t>
      </w:r>
      <w:r>
        <w:rPr>
          <w:rFonts w:ascii="Times New Roman" w:hAnsi="Times New Roman"/>
          <w:sz w:val="24"/>
        </w:rPr>
        <w:t xml:space="preserve">.</w:t>
      </w:r>
    </w:p>
    <w:bookmarkEnd w:id="72"/>
    <w:bookmarkEnd w:id="73"/>
    <w:bookmarkStart w:id="81" w:name="i.-ampls-call"/>
    <w:p>
      <w:pPr>
        <w:pStyle w:val="Heading2"/>
      </w:pPr>
      <w:r>
        <w:rPr>
          <w:rFonts w:ascii="Times New Roman" w:hAnsi="Times New Roman"/>
        </w:rPr>
        <w:t xml:space="preserve">I. AMPL’s call</w:t>
      </w:r>
    </w:p>
    <w:p>
      <w:pPr>
        <w:pStyle w:val="FirstParagraph"/>
      </w:pPr>
      <w:r>
        <w:rPr>
          <w:rFonts w:ascii="Times New Roman" w:hAnsi="Times New Roman"/>
          <w:sz w:val="24"/>
        </w:rPr>
        <w:t xml:space="preserve">AMPL called 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personal guarantee provided by Rocky</w:t>
      </w:r>
      <w:r>
        <w:rPr>
          <w:rFonts w:ascii="Times New Roman" w:hAnsi="Times New Roman"/>
          <w:sz w:val="24"/>
        </w:rPr>
        <w:t xml:space="preserve">’</w:t>
      </w:r>
      <w:r>
        <w:rPr>
          <w:rFonts w:ascii="Times New Roman" w:hAnsi="Times New Roman"/>
          <w:sz w:val="24"/>
        </w:rPr>
        <w:t xml:space="preserve">, yet only a contract’s parties are bound by its terms:</w:t>
      </w:r>
      <w:r>
        <w:rPr>
          <w:rStyle w:val="FootnoteReference"/>
          <w:rFonts w:ascii="Times New Roman" w:hAnsi="Times New Roman"/>
          <w:sz w:val="24"/>
        </w:rPr>
        <w:footnoteReference w:id="74"/>
      </w:r>
      <w:r>
        <w:rPr>
          <w:rFonts w:ascii="Times New Roman" w:hAnsi="Times New Roman"/>
          <w:sz w:val="24"/>
        </w:rPr>
        <w:t xml:space="preserve"> </w:t>
      </w:r>
      <w:r>
        <w:rPr>
          <w:rFonts w:ascii="Times New Roman" w:hAnsi="Times New Roman"/>
          <w:sz w:val="24"/>
        </w:rPr>
        <w:t xml:space="preserve">the clause binds Rocky, a non-party, only by assent. AMPL would say he accepted it by conduct: an offeree with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reasonable opportunity to reject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who takes an offer’s benefit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with knowledge of its terms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may be held to have accepted it.</w:t>
      </w:r>
      <w:r>
        <w:rPr>
          <w:rStyle w:val="FootnoteReference"/>
          <w:rFonts w:ascii="Times New Roman" w:hAnsi="Times New Roman"/>
          <w:sz w:val="24"/>
        </w:rPr>
        <w:footnoteReference w:id="75"/>
      </w:r>
      <w:r>
        <w:rPr>
          <w:rFonts w:ascii="Times New Roman" w:hAnsi="Times New Roman"/>
          <w:sz w:val="24"/>
        </w:rPr>
        <w:t xml:space="preserve"> </w:t>
      </w:r>
      <w:r>
        <w:rPr>
          <w:rFonts w:ascii="Times New Roman" w:hAnsi="Times New Roman"/>
          <w:sz w:val="24"/>
        </w:rPr>
        <w:t xml:space="preserve">Rocky, present at the meeting, took the $10,000 promise without objection. Rocky would answer that the $10,000 priced only his oral offer, not the clause’s promise to answer for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However, the clause arguably recorded his side of that bargain, and a party taking a proposal’s benefit may have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make plain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that he refuses its disadvantages.</w:t>
      </w:r>
      <w:r>
        <w:rPr>
          <w:rStyle w:val="FootnoteReference"/>
          <w:rFonts w:ascii="Times New Roman" w:hAnsi="Times New Roman"/>
          <w:sz w:val="24"/>
        </w:rPr>
        <w:footnoteReference w:id="76"/>
      </w:r>
      <w:r>
        <w:rPr>
          <w:rFonts w:ascii="Times New Roman" w:hAnsi="Times New Roman"/>
          <w:sz w:val="24"/>
        </w:rPr>
        <w:t xml:space="preserve"> </w:t>
      </w:r>
      <w:r>
        <w:rPr>
          <w:rFonts w:ascii="Times New Roman" w:hAnsi="Times New Roman"/>
          <w:sz w:val="24"/>
        </w:rPr>
        <w:t xml:space="preserve">A reasonable bystander would likely see his silence as assent if, as his presence suggests, he knew the clause’s words; otherwise his undertaking likely binds him to AMPL, if it promised, exposing him for Grace’s default, including any missed March payment, though not to the call as such.</w:t>
      </w:r>
    </w:p>
    <w:p>
      <w:pPr>
        <w:pStyle w:val="BodyText"/>
      </w:pPr>
      <w:r>
        <w:rPr>
          <w:rFonts w:ascii="Times New Roman" w:hAnsi="Times New Roman"/>
          <w:sz w:val="24"/>
        </w:rPr>
        <w:t xml:space="preserve">If AMPL promised the $10,000, that promise supplies consideration for the guarantee; if Pierre did, AMPL’s advance was past consideration,</w:t>
      </w:r>
      <w:r>
        <w:rPr>
          <w:rStyle w:val="FootnoteReference"/>
          <w:rFonts w:ascii="Times New Roman" w:hAnsi="Times New Roman"/>
          <w:sz w:val="24"/>
        </w:rPr>
        <w:footnoteReference w:id="77"/>
      </w:r>
      <w:r>
        <w:rPr>
          <w:rFonts w:ascii="Times New Roman" w:hAnsi="Times New Roman"/>
          <w:sz w:val="24"/>
        </w:rPr>
        <w:t xml:space="preserve"> </w:t>
      </w:r>
      <w:r>
        <w:rPr>
          <w:rFonts w:ascii="Times New Roman" w:hAnsi="Times New Roman"/>
          <w:sz w:val="24"/>
        </w:rPr>
        <w:t xml:space="preserve">counting only if requested and the parties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understood that the act was to be remunerated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78"/>
      </w:r>
      <w:r>
        <w:rPr>
          <w:rFonts w:ascii="Times New Roman" w:hAnsi="Times New Roman"/>
          <w:sz w:val="24"/>
        </w:rPr>
        <w:t xml:space="preserve"> </w:t>
      </w:r>
      <w:r>
        <w:rPr>
          <w:rFonts w:ascii="Times New Roman" w:hAnsi="Times New Roman"/>
          <w:sz w:val="24"/>
        </w:rPr>
        <w:t xml:space="preserve">Rocky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meeting the first condition, but in</w:t>
      </w:r>
      <w:r>
        <w:rPr>
          <w:rFonts w:ascii="Times New Roman" w:hAnsi="Times New Roman"/>
          <w:sz w:val="24"/>
        </w:rPr>
        <w:t xml:space="preserve"> </w:t>
      </w:r>
      <w:r>
        <w:rPr>
          <w:iCs/>
          <w:rFonts w:ascii="Times New Roman" w:hAnsi="Times New Roman"/>
          <w:i/>
          <w:sz w:val="24"/>
        </w:rPr>
        <w:t xml:space="preserve">Pao On</w:t>
      </w:r>
      <w:r>
        <w:rPr>
          <w:rFonts w:ascii="Times New Roman" w:hAnsi="Times New Roman"/>
          <w:sz w:val="24"/>
        </w:rPr>
        <w:t xml:space="preserve"> </w:t>
      </w:r>
      <w:r>
        <w:rPr>
          <w:rFonts w:ascii="Times New Roman" w:hAnsi="Times New Roman"/>
          <w:sz w:val="24"/>
        </w:rPr>
        <w:t xml:space="preserve">the understanding existed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 the time of the main agreement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79"/>
      </w:r>
      <w:r>
        <w:rPr>
          <w:rFonts w:ascii="Times New Roman" w:hAnsi="Times New Roman"/>
          <w:sz w:val="24"/>
        </w:rPr>
        <w:t xml:space="preserve"> </w:t>
      </w:r>
      <w:r>
        <w:rPr>
          <w:rFonts w:ascii="Times New Roman" w:hAnsi="Times New Roman"/>
          <w:sz w:val="24"/>
        </w:rPr>
        <w:t xml:space="preserve">whereas Pierre’s expectation first appears on 8 April. AMPL’s fallback is its entry into the Loan Agreement, binding it for 12 months. Yet Rocky’s undertaking was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really offered as consideration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the $10,000, not for that entry.</w:t>
      </w:r>
      <w:r>
        <w:rPr>
          <w:rStyle w:val="FootnoteReference"/>
          <w:rFonts w:ascii="Times New Roman" w:hAnsi="Times New Roman"/>
          <w:sz w:val="24"/>
        </w:rPr>
        <w:footnoteReference w:id="80"/>
      </w:r>
      <w:r>
        <w:rPr>
          <w:rFonts w:ascii="Times New Roman" w:hAnsi="Times New Roman"/>
          <w:sz w:val="24"/>
        </w:rPr>
        <w:t xml:space="preserve"> </w:t>
      </w:r>
      <w:r>
        <w:rPr>
          <w:rFonts w:ascii="Times New Roman" w:hAnsi="Times New Roman"/>
          <w:sz w:val="24"/>
        </w:rPr>
        <w:t xml:space="preserve">If Pierre promised, the call therefore arguably fails.</w:t>
      </w:r>
    </w:p>
    <w:p>
      <w:pPr>
        <w:pStyle w:val="BodyText"/>
      </w:pPr>
      <w:r>
        <w:rPr>
          <w:rFonts w:ascii="Times New Roman" w:hAnsi="Times New Roman"/>
          <w:sz w:val="24"/>
        </w:rPr>
        <w:t xml:space="preserve">Rocky likely has no claim against Grace, and his $10,000, not yet payable, is likely lost if he pays AMPL. If AMPL promised, as is likely, he is likely liable on its call if he knew the clause’s words and the 12 months ran from 27 February, which he should contest; otherwise he is exposed on his undertaking for Grace’s default. If Pierre promised, the call arguably fails, but his undertaking runs to Pierre, whom he must sue for the $10,000.</w:t>
      </w:r>
    </w:p>
    <w:p>
      <w:pPr>
        <w:pStyle w:val="BodyText"/>
      </w:pPr>
      <w:r>
        <w:rPr>
          <w:rFonts w:ascii="Times New Roman" w:hAnsi="Times New Roman"/>
          <w:sz w:val="24"/>
        </w:rPr>
        <w:t xml:space="preserve">Word count: 1,498</w:t>
      </w:r>
    </w:p>
    <w:bookmarkEnd w:id="81"/>
    <w:sectPr>
      <w:headerReference w:type="default" r:id="rId9"/>
      <w:footerReference w:type="default" r:id="rId10"/>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cs="Times New Roman"/>
        </w:rPr>
        <w:continuationSeparator/>
      </w:r>
    </w:p>
  </w:footnote>
  <w:footnote w:type="separator" w:id="-1">
    <w:p>
      <w:r>
        <w:rPr>
          <w:rFonts w:ascii="Times New Roman" w:hAnsi="Times New Roman" w:cs="Times New Roman"/>
        </w:rPr>
        <w:separator/>
      </w:r>
    </w:p>
  </w:footnote>
  <w:footnote w:id="2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 v Manchester City Council</w:t>
      </w:r>
      <w:r>
        <w:rPr>
          <w:rFonts w:ascii="Times New Roman" w:hAnsi="Times New Roman" w:cs="Times New Roman"/>
        </w:rPr>
        <w:t xml:space="preserve"> </w:t>
      </w:r>
      <w:r>
        <w:rPr>
          <w:rFonts w:ascii="Times New Roman" w:hAnsi="Times New Roman" w:cs="Times New Roman"/>
        </w:rPr>
        <w:t xml:space="preserve">[1979] 1 WLR 294, 298 (Lord Diplock) (</w:t>
      </w:r>
      <w:r>
        <w:rPr>
          <w:rFonts w:ascii="Times New Roman" w:hAnsi="Times New Roman" w:cs="Times New Roman"/>
        </w:rPr>
        <w:t xml:space="preserve">‘</w:t>
      </w:r>
      <w:r>
        <w:rPr>
          <w:iCs/>
          <w:i/>
          <w:rFonts w:ascii="Times New Roman" w:hAnsi="Times New Roman" w:cs="Times New Roman"/>
        </w:rPr>
        <w:t xml:space="preserve">Gibson</w:t>
      </w:r>
      <w:r>
        <w:rPr>
          <w:rFonts w:ascii="Times New Roman" w:hAnsi="Times New Roman" w:cs="Times New Roman"/>
        </w:rPr>
        <w:t xml:space="preserve">’</w:t>
      </w:r>
      <w:r>
        <w:rPr>
          <w:rFonts w:ascii="Times New Roman" w:hAnsi="Times New Roman" w:cs="Times New Roman"/>
        </w:rPr>
        <w:t xml:space="preserve">).</w:t>
      </w:r>
    </w:p>
  </w:footnote>
  <w:footnote w:id="2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w:t>
      </w:r>
    </w:p>
  </w:footnote>
  <w:footnote w:id="2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 Holdings Pty Ltd v Machon Paull Partners Pty Ltd</w:t>
      </w:r>
      <w:r>
        <w:rPr>
          <w:rFonts w:ascii="Times New Roman" w:hAnsi="Times New Roman" w:cs="Times New Roman"/>
        </w:rPr>
        <w:t xml:space="preserve"> </w:t>
      </w:r>
      <w:r>
        <w:rPr>
          <w:rFonts w:ascii="Times New Roman" w:hAnsi="Times New Roman" w:cs="Times New Roman"/>
        </w:rPr>
        <w:t xml:space="preserve">(1988) 14 NSWLR 523, 534 (McHugh JA) (</w:t>
      </w:r>
      <w:r>
        <w:rPr>
          <w:rFonts w:ascii="Times New Roman" w:hAnsi="Times New Roman" w:cs="Times New Roman"/>
        </w:rPr>
        <w:t xml:space="preserve">‘</w:t>
      </w:r>
      <w:r>
        <w:rPr>
          <w:iCs/>
          <w:i/>
          <w:rFonts w:ascii="Times New Roman" w:hAnsi="Times New Roman" w:cs="Times New Roman"/>
        </w:rPr>
        <w:t xml:space="preserve">Empirnall</w:t>
      </w:r>
      <w:r>
        <w:rPr>
          <w:rFonts w:ascii="Times New Roman" w:hAnsi="Times New Roman" w:cs="Times New Roman"/>
        </w:rPr>
        <w:t xml:space="preserve">’</w:t>
      </w:r>
      <w:r>
        <w:rPr>
          <w:rFonts w:ascii="Times New Roman" w:hAnsi="Times New Roman" w:cs="Times New Roman"/>
        </w:rPr>
        <w:t xml:space="preserve">).</w:t>
      </w:r>
    </w:p>
  </w:footnote>
  <w:footnote w:id="2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Butler Machine Tool Co Ltd v Ex-Cell-O Corp (England) Ltd</w:t>
      </w:r>
      <w:r>
        <w:rPr>
          <w:rFonts w:ascii="Times New Roman" w:hAnsi="Times New Roman" w:cs="Times New Roman"/>
        </w:rPr>
        <w:t xml:space="preserve"> </w:t>
      </w:r>
      <w:r>
        <w:rPr>
          <w:rFonts w:ascii="Times New Roman" w:hAnsi="Times New Roman" w:cs="Times New Roman"/>
        </w:rPr>
        <w:t xml:space="preserve">[1979] 1 WLR 401, 404 (Lord Denning MR).</w:t>
      </w:r>
    </w:p>
  </w:footnote>
  <w:footnote w:id="2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Beaton v McDivitt</w:t>
      </w:r>
      <w:r>
        <w:rPr>
          <w:rFonts w:ascii="Times New Roman" w:hAnsi="Times New Roman" w:cs="Times New Roman"/>
        </w:rPr>
        <w:t xml:space="preserve"> </w:t>
      </w:r>
      <w:r>
        <w:rPr>
          <w:rFonts w:ascii="Times New Roman" w:hAnsi="Times New Roman" w:cs="Times New Roman"/>
        </w:rPr>
        <w:t xml:space="preserve">(1987) 13 NSWLR 162, 168 (Kirby P) (</w:t>
      </w:r>
      <w:r>
        <w:rPr>
          <w:rFonts w:ascii="Times New Roman" w:hAnsi="Times New Roman" w:cs="Times New Roman"/>
        </w:rPr>
        <w:t xml:space="preserve">‘</w:t>
      </w:r>
      <w:r>
        <w:rPr>
          <w:iCs/>
          <w:i/>
          <w:rFonts w:ascii="Times New Roman" w:hAnsi="Times New Roman" w:cs="Times New Roman"/>
        </w:rPr>
        <w:t xml:space="preserve">Beaton</w:t>
      </w:r>
      <w:r>
        <w:rPr>
          <w:rFonts w:ascii="Times New Roman" w:hAnsi="Times New Roman" w:cs="Times New Roman"/>
        </w:rPr>
        <w:t xml:space="preserve">’</w:t>
      </w:r>
      <w:r>
        <w:rPr>
          <w:rFonts w:ascii="Times New Roman" w:hAnsi="Times New Roman" w:cs="Times New Roman"/>
        </w:rPr>
        <w:t xml:space="preserve">).</w:t>
      </w:r>
    </w:p>
  </w:footnote>
  <w:footnote w:id="2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 v Greek Orthodox Community of SA Inc</w:t>
      </w:r>
      <w:r>
        <w:rPr>
          <w:rFonts w:ascii="Times New Roman" w:hAnsi="Times New Roman" w:cs="Times New Roman"/>
        </w:rPr>
        <w:t xml:space="preserve"> </w:t>
      </w:r>
      <w:r>
        <w:rPr>
          <w:rFonts w:ascii="Times New Roman" w:hAnsi="Times New Roman" w:cs="Times New Roman"/>
        </w:rPr>
        <w:t xml:space="preserve">(2002) 209 CLR 95, [25] (Gaudron, McHugh, Hayne and Callinan JJ) (</w:t>
      </w:r>
      <w:r>
        <w:rPr>
          <w:rFonts w:ascii="Times New Roman" w:hAnsi="Times New Roman" w:cs="Times New Roman"/>
        </w:rPr>
        <w:t xml:space="preserve">‘</w:t>
      </w:r>
      <w:r>
        <w:rPr>
          <w:iCs/>
          <w:i/>
          <w:rFonts w:ascii="Times New Roman" w:hAnsi="Times New Roman" w:cs="Times New Roman"/>
        </w:rPr>
        <w:t xml:space="preserve">Ermogenous</w:t>
      </w:r>
      <w:r>
        <w:rPr>
          <w:rFonts w:ascii="Times New Roman" w:hAnsi="Times New Roman" w:cs="Times New Roman"/>
        </w:rPr>
        <w:t xml:space="preserve">’</w:t>
      </w:r>
      <w:r>
        <w:rPr>
          <w:rFonts w:ascii="Times New Roman" w:hAnsi="Times New Roman" w:cs="Times New Roman"/>
        </w:rPr>
        <w:t xml:space="preserve">).</w:t>
      </w:r>
    </w:p>
  </w:footnote>
  <w:footnote w:id="2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 v Cameron</w:t>
      </w:r>
      <w:r>
        <w:rPr>
          <w:rFonts w:ascii="Times New Roman" w:hAnsi="Times New Roman" w:cs="Times New Roman"/>
        </w:rPr>
        <w:t xml:space="preserve"> </w:t>
      </w:r>
      <w:r>
        <w:rPr>
          <w:rFonts w:ascii="Times New Roman" w:hAnsi="Times New Roman" w:cs="Times New Roman"/>
        </w:rPr>
        <w:t xml:space="preserve">(1954) 91 CLR 353, 363 (</w:t>
      </w:r>
      <w:r>
        <w:rPr>
          <w:rFonts w:ascii="Times New Roman" w:hAnsi="Times New Roman" w:cs="Times New Roman"/>
        </w:rPr>
        <w:t xml:space="preserve">‘</w:t>
      </w:r>
      <w:r>
        <w:rPr>
          <w:iCs/>
          <w:i/>
          <w:rFonts w:ascii="Times New Roman" w:hAnsi="Times New Roman" w:cs="Times New Roman"/>
        </w:rPr>
        <w:t xml:space="preserve">Masters</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Winn v Bull</w:t>
      </w:r>
      <w:r>
        <w:rPr>
          <w:rFonts w:ascii="Times New Roman" w:hAnsi="Times New Roman" w:cs="Times New Roman"/>
        </w:rPr>
        <w:t xml:space="preserve"> </w:t>
      </w:r>
      <w:r>
        <w:rPr>
          <w:rFonts w:ascii="Times New Roman" w:hAnsi="Times New Roman" w:cs="Times New Roman"/>
        </w:rPr>
        <w:t xml:space="preserve">(1877) 7 Ch D 29, 32 (Jessel MR).</w:t>
      </w:r>
    </w:p>
  </w:footnote>
  <w:footnote w:id="3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w:t>
      </w:r>
      <w:r>
        <w:rPr>
          <w:rFonts w:ascii="Times New Roman" w:hAnsi="Times New Roman" w:cs="Times New Roman"/>
        </w:rPr>
        <w:t xml:space="preserve"> </w:t>
      </w:r>
      <w:r>
        <w:rPr>
          <w:rFonts w:ascii="Times New Roman" w:hAnsi="Times New Roman" w:cs="Times New Roman"/>
        </w:rPr>
        <w:t xml:space="preserve">(n 7) 361, citing</w:t>
      </w:r>
      <w:r>
        <w:rPr>
          <w:rFonts w:ascii="Times New Roman" w:hAnsi="Times New Roman" w:cs="Times New Roman"/>
        </w:rPr>
        <w:t xml:space="preserve"> </w:t>
      </w:r>
      <w:r>
        <w:rPr>
          <w:iCs/>
          <w:i/>
          <w:rFonts w:ascii="Times New Roman" w:hAnsi="Times New Roman" w:cs="Times New Roman"/>
        </w:rPr>
        <w:t xml:space="preserve">Niesmann v Collingridge</w:t>
      </w:r>
      <w:r>
        <w:rPr>
          <w:rFonts w:ascii="Times New Roman" w:hAnsi="Times New Roman" w:cs="Times New Roman"/>
        </w:rPr>
        <w:t xml:space="preserve"> </w:t>
      </w:r>
      <w:r>
        <w:rPr>
          <w:rFonts w:ascii="Times New Roman" w:hAnsi="Times New Roman" w:cs="Times New Roman"/>
        </w:rPr>
        <w:t xml:space="preserve">(1921) 29 CLR 177.</w:t>
      </w:r>
    </w:p>
  </w:footnote>
  <w:footnote w:id="3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w:t>
      </w:r>
      <w:r>
        <w:rPr>
          <w:rFonts w:ascii="Times New Roman" w:hAnsi="Times New Roman" w:cs="Times New Roman"/>
        </w:rPr>
        <w:t xml:space="preserve"> </w:t>
      </w:r>
      <w:r>
        <w:rPr>
          <w:rFonts w:ascii="Times New Roman" w:hAnsi="Times New Roman" w:cs="Times New Roman"/>
        </w:rPr>
        <w:t xml:space="preserve">(n 7) 361.</w:t>
      </w:r>
    </w:p>
  </w:footnote>
  <w:footnote w:id="3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Biotechnology Australia Pty Ltd v Pace</w:t>
      </w:r>
      <w:r>
        <w:rPr>
          <w:rFonts w:ascii="Times New Roman" w:hAnsi="Times New Roman" w:cs="Times New Roman"/>
        </w:rPr>
        <w:t xml:space="preserve"> </w:t>
      </w:r>
      <w:r>
        <w:rPr>
          <w:rFonts w:ascii="Times New Roman" w:hAnsi="Times New Roman" w:cs="Times New Roman"/>
        </w:rPr>
        <w:t xml:space="preserve">(1988) 15 NSWLR 130, 151 (McHugh JA) (</w:t>
      </w:r>
      <w:r>
        <w:rPr>
          <w:rFonts w:ascii="Times New Roman" w:hAnsi="Times New Roman" w:cs="Times New Roman"/>
        </w:rPr>
        <w:t xml:space="preserve">‘</w:t>
      </w:r>
      <w:r>
        <w:rPr>
          <w:iCs/>
          <w:i/>
          <w:rFonts w:ascii="Times New Roman" w:hAnsi="Times New Roman" w:cs="Times New Roman"/>
        </w:rPr>
        <w:t xml:space="preserve">Pace</w:t>
      </w:r>
      <w:r>
        <w:rPr>
          <w:rFonts w:ascii="Times New Roman" w:hAnsi="Times New Roman" w:cs="Times New Roman"/>
        </w:rPr>
        <w:t xml:space="preserve">’</w:t>
      </w:r>
      <w:r>
        <w:rPr>
          <w:rFonts w:ascii="Times New Roman" w:hAnsi="Times New Roman" w:cs="Times New Roman"/>
        </w:rPr>
        <w:t xml:space="preserve">).</w:t>
      </w:r>
    </w:p>
  </w:footnote>
  <w:footnote w:id="3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 v Jones</w:t>
      </w:r>
      <w:r>
        <w:rPr>
          <w:rFonts w:ascii="Times New Roman" w:hAnsi="Times New Roman" w:cs="Times New Roman"/>
        </w:rPr>
        <w:t xml:space="preserve"> </w:t>
      </w:r>
      <w:r>
        <w:rPr>
          <w:rFonts w:ascii="Times New Roman" w:hAnsi="Times New Roman" w:cs="Times New Roman"/>
        </w:rPr>
        <w:t xml:space="preserve">(1982) 149 CLR 571, 580–1 (Gibbs CJ) (</w:t>
      </w:r>
      <w:r>
        <w:rPr>
          <w:rFonts w:ascii="Times New Roman" w:hAnsi="Times New Roman" w:cs="Times New Roman"/>
        </w:rPr>
        <w:t xml:space="preserve">‘</w:t>
      </w:r>
      <w:r>
        <w:rPr>
          <w:iCs/>
          <w:i/>
          <w:rFonts w:ascii="Times New Roman" w:hAnsi="Times New Roman" w:cs="Times New Roman"/>
        </w:rPr>
        <w:t xml:space="preserve">Meehan</w:t>
      </w:r>
      <w:r>
        <w:rPr>
          <w:rFonts w:ascii="Times New Roman" w:hAnsi="Times New Roman" w:cs="Times New Roman"/>
        </w:rPr>
        <w:t xml:space="preserve">’</w:t>
      </w:r>
      <w:r>
        <w:rPr>
          <w:rFonts w:ascii="Times New Roman" w:hAnsi="Times New Roman" w:cs="Times New Roman"/>
        </w:rPr>
        <w:t xml:space="preserve">).</w:t>
      </w:r>
    </w:p>
  </w:footnote>
  <w:footnote w:id="3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 v Kirwan</w:t>
      </w:r>
      <w:r>
        <w:rPr>
          <w:rFonts w:ascii="Times New Roman" w:hAnsi="Times New Roman" w:cs="Times New Roman"/>
        </w:rPr>
        <w:t xml:space="preserve"> </w:t>
      </w:r>
      <w:r>
        <w:rPr>
          <w:rFonts w:ascii="Times New Roman" w:hAnsi="Times New Roman" w:cs="Times New Roman"/>
        </w:rPr>
        <w:t xml:space="preserve">(1973) 129 CLR 629, 646–7 (Gibbs J).</w:t>
      </w:r>
    </w:p>
  </w:footnote>
  <w:footnote w:id="3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 Stevedoring Pty Ltd v Salmond &amp; Spraggon (Aust) Pty Ltd</w:t>
      </w:r>
      <w:r>
        <w:rPr>
          <w:rFonts w:ascii="Times New Roman" w:hAnsi="Times New Roman" w:cs="Times New Roman"/>
        </w:rPr>
        <w:t xml:space="preserve"> </w:t>
      </w:r>
      <w:r>
        <w:rPr>
          <w:rFonts w:ascii="Times New Roman" w:hAnsi="Times New Roman" w:cs="Times New Roman"/>
        </w:rPr>
        <w:t xml:space="preserve">(1978) 139 CLR 231, 269 (Mason and Jacobs JJ) (</w:t>
      </w:r>
      <w:r>
        <w:rPr>
          <w:rFonts w:ascii="Times New Roman" w:hAnsi="Times New Roman" w:cs="Times New Roman"/>
        </w:rPr>
        <w:t xml:space="preserve">‘</w:t>
      </w:r>
      <w:r>
        <w:rPr>
          <w:iCs/>
          <w:i/>
          <w:rFonts w:ascii="Times New Roman" w:hAnsi="Times New Roman" w:cs="Times New Roman"/>
        </w:rPr>
        <w:t xml:space="preserve">Port Jackson</w:t>
      </w:r>
      <w:r>
        <w:rPr>
          <w:rFonts w:ascii="Times New Roman" w:hAnsi="Times New Roman" w:cs="Times New Roman"/>
        </w:rPr>
        <w:t xml:space="preserve">’</w:t>
      </w:r>
      <w:r>
        <w:rPr>
          <w:rFonts w:ascii="Times New Roman" w:hAnsi="Times New Roman" w:cs="Times New Roman"/>
        </w:rPr>
        <w:t xml:space="preserve">).</w:t>
      </w:r>
    </w:p>
  </w:footnote>
  <w:footnote w:id="3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 v Bagot’s Executor &amp; Trustee Co Ltd</w:t>
      </w:r>
      <w:r>
        <w:rPr>
          <w:rFonts w:ascii="Times New Roman" w:hAnsi="Times New Roman" w:cs="Times New Roman"/>
        </w:rPr>
        <w:t xml:space="preserve"> </w:t>
      </w:r>
      <w:r>
        <w:rPr>
          <w:rFonts w:ascii="Times New Roman" w:hAnsi="Times New Roman" w:cs="Times New Roman"/>
        </w:rPr>
        <w:t xml:space="preserve">(1967) 119 CLR 460, 494–5 (Windeyer J dissenting) (</w:t>
      </w:r>
      <w:r>
        <w:rPr>
          <w:rFonts w:ascii="Times New Roman" w:hAnsi="Times New Roman" w:cs="Times New Roman"/>
        </w:rPr>
        <w:t xml:space="preserve">‘</w:t>
      </w:r>
      <w:r>
        <w:rPr>
          <w:iCs/>
          <w:i/>
          <w:rFonts w:ascii="Times New Roman" w:hAnsi="Times New Roman" w:cs="Times New Roman"/>
        </w:rPr>
        <w:t xml:space="preserve">Coulls</w:t>
      </w:r>
      <w:r>
        <w:rPr>
          <w:rFonts w:ascii="Times New Roman" w:hAnsi="Times New Roman" w:cs="Times New Roman"/>
        </w:rPr>
        <w:t xml:space="preserve">’</w:t>
      </w:r>
      <w:r>
        <w:rPr>
          <w:rFonts w:ascii="Times New Roman" w:hAnsi="Times New Roman" w:cs="Times New Roman"/>
        </w:rPr>
        <w:t xml:space="preserve">).</w:t>
      </w:r>
    </w:p>
  </w:footnote>
  <w:footnote w:id="3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4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486 (Taylor and Owen JJ).</w:t>
      </w:r>
    </w:p>
  </w:footnote>
  <w:footnote w:id="4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536 (McHugh JA).</w:t>
      </w:r>
    </w:p>
  </w:footnote>
  <w:footnote w:id="4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14) 487 (Taylor and Owen JJ).</w:t>
      </w:r>
    </w:p>
  </w:footnote>
  <w:footnote w:id="4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w:t>
      </w:r>
      <w:r>
        <w:rPr>
          <w:rFonts w:ascii="Times New Roman" w:hAnsi="Times New Roman" w:cs="Times New Roman"/>
        </w:rPr>
        <w:t xml:space="preserve"> </w:t>
      </w:r>
      <w:r>
        <w:rPr>
          <w:rFonts w:ascii="Times New Roman" w:hAnsi="Times New Roman" w:cs="Times New Roman"/>
        </w:rPr>
        <w:t xml:space="preserve">(n 1) 298 (Lord Diplock).</w:t>
      </w:r>
    </w:p>
  </w:footnote>
  <w:footnote w:id="4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 Holdings Ltd v Bathurst City Council</w:t>
      </w:r>
      <w:r>
        <w:rPr>
          <w:rFonts w:ascii="Times New Roman" w:hAnsi="Times New Roman" w:cs="Times New Roman"/>
        </w:rPr>
        <w:t xml:space="preserve"> </w:t>
      </w:r>
      <w:r>
        <w:rPr>
          <w:rFonts w:ascii="Times New Roman" w:hAnsi="Times New Roman" w:cs="Times New Roman"/>
        </w:rPr>
        <w:t xml:space="preserve">(2001) 53 NSWLR 153, 177 (Heydon JA) (</w:t>
      </w:r>
      <w:r>
        <w:rPr>
          <w:rFonts w:ascii="Times New Roman" w:hAnsi="Times New Roman" w:cs="Times New Roman"/>
        </w:rPr>
        <w:t xml:space="preserve">‘</w:t>
      </w:r>
      <w:r>
        <w:rPr>
          <w:iCs/>
          <w:i/>
          <w:rFonts w:ascii="Times New Roman" w:hAnsi="Times New Roman" w:cs="Times New Roman"/>
        </w:rPr>
        <w:t xml:space="preserve">Brambles</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Integrated Computer Services Pty Ltd v Digital Equipment Corp (Aust) Pty Ltd</w:t>
      </w:r>
      <w:r>
        <w:rPr>
          <w:rFonts w:ascii="Times New Roman" w:hAnsi="Times New Roman" w:cs="Times New Roman"/>
        </w:rPr>
        <w:t xml:space="preserve"> </w:t>
      </w:r>
      <w:r>
        <w:rPr>
          <w:rFonts w:ascii="Times New Roman" w:hAnsi="Times New Roman" w:cs="Times New Roman"/>
        </w:rPr>
        <w:t xml:space="preserve">(1988) 5 BPR 11,110, 11,117–18 (McHugh JA).</w:t>
      </w:r>
    </w:p>
  </w:footnote>
  <w:footnote w:id="4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4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w:t>
      </w:r>
      <w:r>
        <w:rPr>
          <w:rFonts w:ascii="Times New Roman" w:hAnsi="Times New Roman" w:cs="Times New Roman"/>
        </w:rPr>
        <w:t xml:space="preserve"> </w:t>
      </w:r>
      <w:r>
        <w:rPr>
          <w:rFonts w:ascii="Times New Roman" w:hAnsi="Times New Roman" w:cs="Times New Roman"/>
        </w:rPr>
        <w:t xml:space="preserve">(n 7) 361.</w:t>
      </w:r>
    </w:p>
  </w:footnote>
  <w:footnote w:id="5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(1954) 92 CLR 424, 456–7 (</w:t>
      </w:r>
      <w:r>
        <w:rPr>
          <w:rFonts w:ascii="Times New Roman" w:hAnsi="Times New Roman" w:cs="Times New Roman"/>
        </w:rPr>
        <w:t xml:space="preserve">‘</w:t>
      </w:r>
      <w:r>
        <w:rPr>
          <w:iCs/>
          <w:i/>
          <w:rFonts w:ascii="Times New Roman" w:hAnsi="Times New Roman" w:cs="Times New Roman"/>
        </w:rPr>
        <w:t xml:space="preserve">Australian Woollen Mills</w:t>
      </w:r>
      <w:r>
        <w:rPr>
          <w:rFonts w:ascii="Times New Roman" w:hAnsi="Times New Roman" w:cs="Times New Roman"/>
        </w:rPr>
        <w:t xml:space="preserve">’</w:t>
      </w:r>
      <w:r>
        <w:rPr>
          <w:rFonts w:ascii="Times New Roman" w:hAnsi="Times New Roman" w:cs="Times New Roman"/>
        </w:rPr>
        <w:t xml:space="preserve">).</w:t>
      </w:r>
    </w:p>
  </w:footnote>
  <w:footnote w:id="5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 Sundell &amp; Sons Pty Ltd v Emm Yannoulatos (Overseas) Pty Ltd</w:t>
      </w:r>
      <w:r>
        <w:rPr>
          <w:rFonts w:ascii="Times New Roman" w:hAnsi="Times New Roman" w:cs="Times New Roman"/>
        </w:rPr>
        <w:t xml:space="preserve"> </w:t>
      </w:r>
      <w:r>
        <w:rPr>
          <w:rFonts w:ascii="Times New Roman" w:hAnsi="Times New Roman" w:cs="Times New Roman"/>
        </w:rPr>
        <w:t xml:space="preserve">(1955) 56 SR (NSW) 323, 327.</w:t>
      </w:r>
    </w:p>
  </w:footnote>
  <w:footnote w:id="5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Wigan v Edwards</w:t>
      </w:r>
      <w:r>
        <w:rPr>
          <w:rFonts w:ascii="Times New Roman" w:hAnsi="Times New Roman" w:cs="Times New Roman"/>
        </w:rPr>
        <w:t xml:space="preserve"> </w:t>
      </w:r>
      <w:r>
        <w:rPr>
          <w:rFonts w:ascii="Times New Roman" w:hAnsi="Times New Roman" w:cs="Times New Roman"/>
        </w:rPr>
        <w:t xml:space="preserve">(1973) 47 ALJR 586, 594 (Mason J).</w:t>
      </w:r>
    </w:p>
  </w:footnote>
  <w:footnote w:id="5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(1955) 93 CLR 546, 550.</w:t>
      </w:r>
    </w:p>
  </w:footnote>
  <w:footnote w:id="5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6) [26].</w:t>
      </w:r>
    </w:p>
  </w:footnote>
  <w:footnote w:id="5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Banque Brussels Lambert SA v Australian National Industries Ltd</w:t>
      </w:r>
      <w:r>
        <w:rPr>
          <w:rFonts w:ascii="Times New Roman" w:hAnsi="Times New Roman" w:cs="Times New Roman"/>
        </w:rPr>
        <w:t xml:space="preserve"> </w:t>
      </w:r>
      <w:r>
        <w:rPr>
          <w:rFonts w:ascii="Times New Roman" w:hAnsi="Times New Roman" w:cs="Times New Roman"/>
        </w:rPr>
        <w:t xml:space="preserve">(1989) 21 NSWLR 502, 521–3 (Rogers CJ).</w:t>
      </w:r>
    </w:p>
  </w:footnote>
  <w:footnote w:id="5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523.</w:t>
      </w:r>
    </w:p>
  </w:footnote>
  <w:footnote w:id="6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Council of the Upper Hunter County District v Australian Chilling and Freezing Co Ltd</w:t>
      </w:r>
      <w:r>
        <w:rPr>
          <w:rFonts w:ascii="Times New Roman" w:hAnsi="Times New Roman" w:cs="Times New Roman"/>
        </w:rPr>
        <w:t xml:space="preserve"> </w:t>
      </w:r>
      <w:r>
        <w:rPr>
          <w:rFonts w:ascii="Times New Roman" w:hAnsi="Times New Roman" w:cs="Times New Roman"/>
        </w:rPr>
        <w:t xml:space="preserve">(1968) 118 CLR 429, 437 (Barwick CJ) (</w:t>
      </w:r>
      <w:r>
        <w:rPr>
          <w:rFonts w:ascii="Times New Roman" w:hAnsi="Times New Roman" w:cs="Times New Roman"/>
        </w:rPr>
        <w:t xml:space="preserve">‘</w:t>
      </w:r>
      <w:r>
        <w:rPr>
          <w:iCs/>
          <w:i/>
          <w:rFonts w:ascii="Times New Roman" w:hAnsi="Times New Roman" w:cs="Times New Roman"/>
        </w:rPr>
        <w:t xml:space="preserve">Upper Hunter</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G Scammell &amp; Nephew Ltd v Ouston</w:t>
      </w:r>
      <w:r>
        <w:rPr>
          <w:rFonts w:ascii="Times New Roman" w:hAnsi="Times New Roman" w:cs="Times New Roman"/>
        </w:rPr>
        <w:t xml:space="preserve"> </w:t>
      </w:r>
      <w:r>
        <w:rPr>
          <w:rFonts w:ascii="Times New Roman" w:hAnsi="Times New Roman" w:cs="Times New Roman"/>
        </w:rPr>
        <w:t xml:space="preserve">[1941] AC 251, 268 (Lord Wright).</w:t>
      </w:r>
    </w:p>
  </w:footnote>
  <w:footnote w:id="6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Pace</w:t>
      </w:r>
      <w:r>
        <w:rPr>
          <w:rFonts w:ascii="Times New Roman" w:hAnsi="Times New Roman" w:cs="Times New Roman"/>
        </w:rPr>
        <w:t xml:space="preserve"> </w:t>
      </w:r>
      <w:r>
        <w:rPr>
          <w:rFonts w:ascii="Times New Roman" w:hAnsi="Times New Roman" w:cs="Times New Roman"/>
        </w:rPr>
        <w:t xml:space="preserve">(n 10) 151 (McHugh JA).</w:t>
      </w:r>
    </w:p>
  </w:footnote>
  <w:footnote w:id="6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w:t>
      </w:r>
      <w:r>
        <w:rPr>
          <w:rFonts w:ascii="Times New Roman" w:hAnsi="Times New Roman" w:cs="Times New Roman"/>
        </w:rPr>
        <w:t xml:space="preserve"> </w:t>
      </w:r>
      <w:r>
        <w:rPr>
          <w:rFonts w:ascii="Times New Roman" w:hAnsi="Times New Roman" w:cs="Times New Roman"/>
        </w:rPr>
        <w:t xml:space="preserve">(n 13) 269 (Mason and Jacobs JJ).</w:t>
      </w:r>
    </w:p>
  </w:footnote>
  <w:footnote w:id="6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14) 494–5 (Windeyer J dissenting).</w:t>
      </w:r>
    </w:p>
  </w:footnote>
  <w:footnote w:id="6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11) 582 (Gibbs CJ).</w:t>
      </w:r>
    </w:p>
  </w:footnote>
  <w:footnote w:id="6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Upper Hunter</w:t>
      </w:r>
      <w:r>
        <w:rPr>
          <w:rFonts w:ascii="Times New Roman" w:hAnsi="Times New Roman" w:cs="Times New Roman"/>
        </w:rPr>
        <w:t xml:space="preserve"> </w:t>
      </w:r>
      <w:r>
        <w:rPr>
          <w:rFonts w:ascii="Times New Roman" w:hAnsi="Times New Roman" w:cs="Times New Roman"/>
        </w:rPr>
        <w:t xml:space="preserve">(n 30) 437 (Barwick CJ).</w:t>
      </w:r>
    </w:p>
  </w:footnote>
  <w:footnote w:id="6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Beaton</w:t>
      </w:r>
      <w:r>
        <w:rPr>
          <w:rFonts w:ascii="Times New Roman" w:hAnsi="Times New Roman" w:cs="Times New Roman"/>
        </w:rPr>
        <w:t xml:space="preserve"> </w:t>
      </w:r>
      <w:r>
        <w:rPr>
          <w:rFonts w:ascii="Times New Roman" w:hAnsi="Times New Roman" w:cs="Times New Roman"/>
        </w:rPr>
        <w:t xml:space="preserve">(n 5) 185 (McHugh JA), citing</w:t>
      </w:r>
      <w:r>
        <w:rPr>
          <w:rFonts w:ascii="Times New Roman" w:hAnsi="Times New Roman" w:cs="Times New Roman"/>
        </w:rPr>
        <w:t xml:space="preserve"> </w:t>
      </w:r>
      <w:r>
        <w:rPr>
          <w:iCs/>
          <w:i/>
          <w:rFonts w:ascii="Times New Roman" w:hAnsi="Times New Roman" w:cs="Times New Roman"/>
        </w:rPr>
        <w:t xml:space="preserve">Secured Income Real Estate (Aust) Ltd v St Martins Investments Pty Ltd</w:t>
      </w:r>
      <w:r>
        <w:rPr>
          <w:rFonts w:ascii="Times New Roman" w:hAnsi="Times New Roman" w:cs="Times New Roman"/>
        </w:rPr>
        <w:t xml:space="preserve"> </w:t>
      </w:r>
      <w:r>
        <w:rPr>
          <w:rFonts w:ascii="Times New Roman" w:hAnsi="Times New Roman" w:cs="Times New Roman"/>
        </w:rPr>
        <w:t xml:space="preserve">(1979) 144 CLR 596, 607 (Mason J).</w:t>
      </w:r>
    </w:p>
  </w:footnote>
  <w:footnote w:id="7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20) 163–4, 167 (Heydon JA).</w:t>
      </w:r>
    </w:p>
  </w:footnote>
  <w:footnote w:id="7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191 (Ipp AJA).</w:t>
      </w:r>
    </w:p>
  </w:footnote>
  <w:footnote w:id="7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Trident General Insurance Co Ltd v McNiece Bros Pty Ltd</w:t>
      </w:r>
      <w:r>
        <w:rPr>
          <w:rFonts w:ascii="Times New Roman" w:hAnsi="Times New Roman" w:cs="Times New Roman"/>
        </w:rPr>
        <w:t xml:space="preserve"> </w:t>
      </w:r>
      <w:r>
        <w:rPr>
          <w:rFonts w:ascii="Times New Roman" w:hAnsi="Times New Roman" w:cs="Times New Roman"/>
        </w:rPr>
        <w:t xml:space="preserve">(1988) 165 CLR 107 (Deane J).</w:t>
      </w:r>
    </w:p>
  </w:footnote>
  <w:footnote w:id="7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535–6 (McHugh JA).</w:t>
      </w:r>
    </w:p>
  </w:footnote>
  <w:footnote w:id="7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20) 181 (Heydon JA).</w:t>
      </w:r>
    </w:p>
  </w:footnote>
  <w:footnote w:id="7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Roscorla v Thomas</w:t>
      </w:r>
      <w:r>
        <w:rPr>
          <w:rFonts w:ascii="Times New Roman" w:hAnsi="Times New Roman" w:cs="Times New Roman"/>
        </w:rPr>
        <w:t xml:space="preserve"> </w:t>
      </w:r>
      <w:r>
        <w:rPr>
          <w:rFonts w:ascii="Times New Roman" w:hAnsi="Times New Roman" w:cs="Times New Roman"/>
        </w:rPr>
        <w:t xml:space="preserve">(1842) 3 QB 234, 237; 114 ER 496.</w:t>
      </w:r>
    </w:p>
  </w:footnote>
  <w:footnote w:id="7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 v Lau Yiu Long</w:t>
      </w:r>
      <w:r>
        <w:rPr>
          <w:rFonts w:ascii="Times New Roman" w:hAnsi="Times New Roman" w:cs="Times New Roman"/>
        </w:rPr>
        <w:t xml:space="preserve"> </w:t>
      </w:r>
      <w:r>
        <w:rPr>
          <w:rFonts w:ascii="Times New Roman" w:hAnsi="Times New Roman" w:cs="Times New Roman"/>
        </w:rPr>
        <w:t xml:space="preserve">[1980] AC 614, 629–30.</w:t>
      </w:r>
    </w:p>
  </w:footnote>
  <w:footnote w:id="7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w:t>
      </w:r>
    </w:p>
  </w:footnote>
  <w:footnote w:id="8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w:t>
      </w:r>
      <w:r>
        <w:rPr>
          <w:rFonts w:ascii="Times New Roman" w:hAnsi="Times New Roman" w:cs="Times New Roman"/>
        </w:rPr>
        <w:t xml:space="preserve"> </w:t>
      </w:r>
      <w:r>
        <w:rPr>
          <w:rFonts w:ascii="Times New Roman" w:hAnsi="Times New Roman" w:cs="Times New Roman"/>
        </w:rPr>
        <w:t xml:space="preserve">(n 23) 456.</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0" w:before="0" w:line="480" w:lineRule="auto"/>
      <w:jc w:val="center"/>
    </w:pPr>
    <w:rPr>
      <w:rFonts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color w:val="000000"/>
      <w:sz w:val="24"/>
    </w:rPr>
  </w:style>
  <w:style w:customStyle="1" w:styleId="AbstractTitle" w:type="paragraph">
    <w:name w:val="Abstract Title"/>
    <w:basedOn w:val="Normal"/>
    <w:next w:val="Abstract"/>
    <w:qFormat/>
    <w:pPr>
      <w:keepNext/>
      <w:keepLines/>
      <w:jc w:val="center"/>
      <w:spacing w:after="0" w:before="0" w:line="480" w:lineRule="auto"/>
    </w:pPr>
    <w:rPr>
      <w:color w:val="000000"/>
      <w:sz w:val="24"/>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0" w:before="0" w:line="48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480" w:lineRule="auto" w:before="0" w:after="0"/>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240" w:lineRule="auto" w:after="0"/>
    </w:pPr>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cs="Times New Roman" w:eastAsia="Times New Roman"/>
      <w:b/>
      <w:color w:val="000000"/>
      <w:sz w:val="24"/>
    </w:rPr>
  </w:style>
  <w:style w:customStyle="1" w:styleId="Definition" w:type="paragraph">
    <w:name w:val="Definition"/>
    <w:basedOn w:val="Normal"/>
    <w:pPr>
      <w:spacing w:line="480" w:lineRule="auto" w:before="0" w:after="0"/>
    </w:pPr>
    <w:rPr>
      <w:rFonts w:ascii="Times New Roman" w:hAnsi="Times New Roman" w:cs="Times New Roman" w:eastAsia="Times New Roman"/>
      <w:color w:val="000000"/>
      <w:sz w:val="24"/>
    </w:rPr>
  </w:style>
  <w:style w:styleId="Caption" w:type="paragraph">
    <w:name w:val="Caption"/>
    <w:basedOn w:val="Normal"/>
    <w:link w:val="BodyTextChar"/>
    <w:pPr>
      <w:spacing w:after="0" w:before="0" w:line="48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480" w:lineRule="auto" w:before="0" w:after="0"/>
    </w:pPr>
    <w:rPr>
      <w:rFonts w:ascii="Times New Roman" w:hAnsi="Times New Roman" w:cs="Times New Roman" w:eastAsia="Times New Roman"/>
      <w:color w:val="000000"/>
      <w:sz w:val="24"/>
    </w:rPr>
  </w:style>
  <w:style w:customStyle="1" w:styleId="ImageCaption" w:type="paragraph">
    <w:name w:val="Image Caption"/>
    <w:basedOn w:val="Caption"/>
    <w:pPr>
      <w:spacing w:line="480" w:lineRule="auto" w:before="0" w:after="0"/>
    </w:pPr>
    <w:rPr>
      <w:rFonts w:ascii="Times New Roman" w:hAnsi="Times New Roman" w:cs="Times New Roman" w:eastAsia="Times New Roman"/>
      <w:color w:val="000000"/>
      <w:sz w:val="24"/>
    </w:rPr>
  </w:style>
  <w:style w:customStyle="1" w:styleId="Figure" w:type="paragraph">
    <w:name w:val="Figure"/>
    <w:basedOn w:val="Normal"/>
    <w:pPr>
      <w:spacing w:line="480" w:lineRule="auto" w:before="0" w:after="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480" w:lineRule="auto" w:before="0" w:after="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rFonts w:ascii="Times New Roman" w:hAnsi="Times New Roman" w:cs="Times New Roman" w:eastAsia="Times New Roman"/>
      <w:color w:val="000000"/>
      <w:sz w:val="20"/>
      <w:vertAlign w:val="superscript"/>
    </w:rPr>
  </w:style>
  <w:style w:styleId="Hyperlink" w:type="character">
    <w:name w:val="Hyperlink"/>
    <w:basedOn w:val="BodyTextChar"/>
    <w:rPr>
      <w:rFonts w:ascii="Times New Roman" w:hAnsi="Times New Roman" w:cs="Times New Roman" w:eastAsia="Times New Roman"/>
      <w:color w:val="000000"/>
      <w:sz w:val="24"/>
    </w:rPr>
  </w:style>
  <w:style w:styleId="TOCHeading" w:type="paragraph">
    <w:name w:val="TOC Heading"/>
    <w:basedOn w:val="Heading1"/>
    <w:next w:val="BodyText"/>
    <w:uiPriority w:val="39"/>
    <w:unhideWhenUsed/>
    <w:qFormat/>
    <w:pPr>
      <w:spacing w:before="0" w:line="480" w:lineRule="auto" w:after="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480" w:lineRule="auto" w:before="0" w:after="0"/>
    </w:pPr>
    <w:rPr>
      <w:rFonts w:ascii="Times New Roman" w:hAnsi="Times New Roman" w:cs="Times New Roman" w:eastAsia="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2026-10-11T11:14:30Z</dcterms:created>
  <dcterms:modified xsi:type="dcterms:W3CDTF">2026-10-11T11:14:30Z</dcterms:modified>
</cp:coreProperties>
</file>

<file path=docProps/custom.xml><?xml version="1.0" encoding="utf-8"?>
<Properties xmlns="http://schemas.openxmlformats.org/officeDocument/2006/custom-properties" xmlns:vt="http://schemas.openxmlformats.org/officeDocument/2006/docPropsVTypes"/>
</file>