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sz w:val="24"/>
        </w:rPr>
        <w:t xml:space="preserve">Word count: 1,495</w:t>
      </w:r>
    </w:p>
    <w:bookmarkStart w:id="28" w:name="i.-rocky-v-grace"/>
    <w:p>
      <w:pPr>
        <w:pStyle w:val="Heading1"/>
      </w:pPr>
      <w:r>
        <w:rPr>
          <w:rFonts w:ascii="Times New Roman" w:hAnsi="Times New Roman"/>
        </w:rPr>
        <w:t xml:space="preserve">I. ROCKY v GRACE</w:t>
      </w:r>
    </w:p>
    <w:bookmarkStart w:id="24" w:name="a.-agreement-and-certainty"/>
    <w:p>
      <w:pPr>
        <w:pStyle w:val="Heading2"/>
      </w:pPr>
      <w:r>
        <w:rPr>
          <w:rFonts w:ascii="Times New Roman" w:hAnsi="Times New Roman"/>
        </w:rPr>
        <w:t xml:space="preserve">A. Agreement and certainty</w:t>
      </w:r>
    </w:p>
    <w:p>
      <w:pPr>
        <w:pStyle w:val="FirstParagraph"/>
      </w:pPr>
      <w:r>
        <w:rPr>
          <w:rFonts w:ascii="Times New Roman" w:hAnsi="Times New Roman"/>
          <w:sz w:val="24"/>
        </w:rPr>
        <w:t xml:space="preserve">The issue is whether the 12 February exchange formed a contract. While new terms remain to be adopted, the parties are still negotiating.</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A promise leaving performance to the promisor’s discretion is illusory,</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but not where the discretion relates only to the fulfilment of a condition, which must be assessed honestly, or honestly and reasonably.</w:t>
      </w:r>
      <w:r>
        <w:rPr>
          <w:rStyle w:val="FootnoteReference"/>
          <w:rFonts w:ascii="Times New Roman" w:hAnsi="Times New Roman"/>
          <w:sz w:val="24"/>
        </w:rPr>
        <w:footnoteReference w:id="22"/>
      </w:r>
      <w:r>
        <w:rPr>
          <w:rFonts w:ascii="Times New Roman" w:hAnsi="Times New Roman"/>
          <w:sz w:val="24"/>
        </w:rPr>
        <w:t xml:space="preserve"> </w:t>
      </w:r>
      <w:r>
        <w:rPr>
          <w:rFonts w:ascii="Times New Roman" w:hAnsi="Times New Roman"/>
          <w:sz w:val="24"/>
        </w:rPr>
        <w:t xml:space="preserve">However, Gibbs J doubted that an agreement leaving further terms, at least on a vital matter, to one party is a concluded contract.</w:t>
      </w:r>
      <w:r>
        <w:rPr>
          <w:rStyle w:val="FootnoteReference"/>
          <w:rFonts w:ascii="Times New Roman" w:hAnsi="Times New Roman"/>
          <w:sz w:val="24"/>
        </w:rPr>
        <w:footnoteReference w:id="23"/>
      </w:r>
    </w:p>
    <w:p>
      <w:pPr>
        <w:pStyle w:val="BodyText"/>
      </w:pPr>
      <w:r>
        <w:rPr>
          <w:rFonts w:ascii="Times New Roman" w:hAnsi="Times New Roman"/>
          <w:sz w:val="24"/>
        </w:rPr>
        <w:t xml:space="preserve">Here, the email settled the amount, date, term and rate, and Grace’s unqualified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would ordinarily accept it. However, Rocky would lend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 which the email does not specify. Grace will argue that these were subsidiary or, as with the finance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for Rocky to assess honestly. Yet they identify no subject matter, so they are arguably further loan terms for Rocky alone to settle, not a condition whose fulfilment he would assess.</w:t>
      </w:r>
    </w:p>
    <w:p>
      <w:pPr>
        <w:pStyle w:val="BodyText"/>
      </w:pPr>
      <w:r>
        <w:rPr>
          <w:rFonts w:ascii="Times New Roman" w:hAnsi="Times New Roman"/>
          <w:sz w:val="24"/>
        </w:rPr>
        <w:t xml:space="preserve">On balance, a court would likely find that no contract was formed, because whether Rocky lent depended on terms that he alone would settle. Further information is needed on what the conditions were, as</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-type conditions would likely bind. That finding protects Rocky, as nothing shows he lent by 15 February, but gives him no claim.</w:t>
      </w:r>
    </w:p>
    <w:bookmarkEnd w:id="24"/>
    <w:bookmarkStart w:id="27" w:name="b.-privity"/>
    <w:p>
      <w:pPr>
        <w:pStyle w:val="Heading2"/>
      </w:pPr>
      <w:r>
        <w:rPr>
          <w:rFonts w:ascii="Times New Roman" w:hAnsi="Times New Roman"/>
        </w:rPr>
        <w:t xml:space="preserve">B. Privity</w:t>
      </w:r>
    </w:p>
    <w:p>
      <w:pPr>
        <w:pStyle w:val="FirstParagraph"/>
      </w:pPr>
      <w:r>
        <w:rPr>
          <w:rFonts w:ascii="Times New Roman" w:hAnsi="Times New Roman"/>
          <w:sz w:val="24"/>
        </w:rPr>
        <w:t xml:space="preserve">The issue is whether Rocky can enforce the Loan Agreement, as his 5 March demand assumed. Prima facie, only a party can enforce a contract, and a signature alone does not make one: in</w:t>
      </w:r>
      <w:r>
        <w:rPr>
          <w:rFonts w:ascii="Times New Roman" w:hAnsi="Times New Roman"/>
          <w:sz w:val="24"/>
        </w:rPr>
        <w:t xml:space="preserve"> </w:t>
      </w:r>
      <w:r>
        <w:rPr>
          <w:iCs/>
          <w:rFonts w:ascii="Times New Roman" w:hAnsi="Times New Roman"/>
          <w:i/>
          <w:sz w:val="24"/>
        </w:rPr>
        <w:t xml:space="preserve">Coulls</w:t>
      </w:r>
      <w:r>
        <w:rPr>
          <w:rFonts w:ascii="Times New Roman" w:hAnsi="Times New Roman"/>
          <w:sz w:val="24"/>
        </w:rPr>
        <w:t xml:space="preserve">, the wife signed, yet was not a party, as the company made no promise to pay her.</w:t>
      </w:r>
      <w:r>
        <w:rPr>
          <w:rStyle w:val="FootnoteReference"/>
          <w:rFonts w:ascii="Times New Roman" w:hAnsi="Times New Roman"/>
          <w:sz w:val="24"/>
        </w:rPr>
        <w:footnoteReference w:id="25"/>
      </w:r>
    </w:p>
    <w:p>
      <w:pPr>
        <w:pStyle w:val="BodyText"/>
      </w:pPr>
      <w:r>
        <w:rPr>
          <w:rFonts w:ascii="Times New Roman" w:hAnsi="Times New Roman"/>
          <w:sz w:val="24"/>
        </w:rPr>
        <w:t xml:space="preserve">Here, Grace promised repayment to AMPL alone, and neither Rocky’s request for the loan nor the guarantee, which makes him at most AMPL’s promisor, makes him Grace’s promisee. 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never signed anything with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therefore reaches the right result. Nor does agency assist, as nothing suggests AMPL purported to lend as Rocky’s agent.</w:t>
      </w:r>
      <w:r>
        <w:rPr>
          <w:rStyle w:val="FootnoteReference"/>
          <w:rFonts w:ascii="Times New Roman" w:hAnsi="Times New Roman"/>
          <w:sz w:val="24"/>
        </w:rPr>
        <w:footnoteReference w:id="26"/>
      </w:r>
    </w:p>
    <w:p>
      <w:pPr>
        <w:pStyle w:val="BodyText"/>
      </w:pPr>
      <w:r>
        <w:rPr>
          <w:rFonts w:ascii="Times New Roman" w:hAnsi="Times New Roman"/>
          <w:sz w:val="24"/>
        </w:rPr>
        <w:t xml:space="preserve">Rocky therefore likely cannot enforce the Loan Agreement and, as the Development Agreement discloses no breach, would likely fail in any claim against Grace.</w:t>
      </w:r>
    </w:p>
    <w:bookmarkEnd w:id="27"/>
    <w:bookmarkEnd w:id="28"/>
    <w:bookmarkStart w:id="44" w:name="ii.-rocky-v-ampl-or-pierre"/>
    <w:p>
      <w:pPr>
        <w:pStyle w:val="Heading1"/>
      </w:pPr>
      <w:r>
        <w:rPr>
          <w:rFonts w:ascii="Times New Roman" w:hAnsi="Times New Roman"/>
        </w:rPr>
        <w:t xml:space="preserve">II. ROCKY v AMPL OR PIERRE</w:t>
      </w:r>
    </w:p>
    <w:bookmarkStart w:id="31" w:name="a.-agreement"/>
    <w:p>
      <w:pPr>
        <w:pStyle w:val="Heading2"/>
      </w:pPr>
      <w:r>
        <w:rPr>
          <w:rFonts w:ascii="Times New Roman" w:hAnsi="Times New Roman"/>
        </w:rPr>
        <w:t xml:space="preserve">A. Agreement</w:t>
      </w:r>
    </w:p>
    <w:p>
      <w:pPr>
        <w:pStyle w:val="FirstParagraph"/>
      </w:pPr>
      <w:r>
        <w:rPr>
          <w:rFonts w:ascii="Times New Roman" w:hAnsi="Times New Roman"/>
          <w:sz w:val="24"/>
        </w:rPr>
        <w:t xml:space="preserve">The issue is whether the 8 April exchange formed a contract, and with whom. AMPL, a company, is bound if Pierre acted as its agent and purported to act for it,</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and its consent may be implied where it placed him so that a reasonable person would understand him to have its authority.</w:t>
      </w:r>
      <w:r>
        <w:rPr>
          <w:rStyle w:val="FootnoteReference"/>
          <w:rFonts w:ascii="Times New Roman" w:hAnsi="Times New Roman"/>
          <w:sz w:val="24"/>
        </w:rPr>
        <w:footnoteReference w:id="30"/>
      </w:r>
    </w:p>
    <w:p>
      <w:pPr>
        <w:pStyle w:val="BodyText"/>
      </w:pPr>
      <w:r>
        <w:rPr>
          <w:rFonts w:ascii="Times New Roman" w:hAnsi="Times New Roman"/>
          <w:sz w:val="24"/>
        </w:rPr>
        <w:t xml:space="preserve">Here, Rocky offered his promise for a promise to pay him $10,000</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directly</w:t>
      </w:r>
      <w:r>
        <w:rPr>
          <w:rFonts w:ascii="Times New Roman" w:hAnsi="Times New Roman"/>
          <w:sz w:val="24"/>
        </w:rPr>
        <w:t xml:space="preserve">’</w:t>
      </w:r>
      <w:r>
        <w:rPr>
          <w:rFonts w:ascii="Times New Roman" w:hAnsi="Times New Roman"/>
          <w:sz w:val="24"/>
        </w:rPr>
        <w:t xml:space="preserve">,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w:t>
      </w:r>
      <w:r>
        <w:rPr>
          <w:rFonts w:ascii="Times New Roman" w:hAnsi="Times New Roman"/>
          <w:sz w:val="24"/>
        </w:rPr>
        <w:t xml:space="preserve">’</w:t>
      </w:r>
      <w:r>
        <w:rPr>
          <w:rFonts w:ascii="Times New Roman" w:hAnsi="Times New Roman"/>
          <w:sz w:val="24"/>
        </w:rPr>
        <w:t xml:space="preserve">. Pierre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owned and controlled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AMPL, the meeting was at AMPL’s office, AMPL had performed his 27 February agreement the same day, and his expectation concerned payments to AMPL. Against this, Rocky addressed Pierre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AMPL is therefore likely the promisor, because Pierre spoke as its controller about its loan; Rocky should sue Pierre in the alternative.</w:t>
      </w:r>
    </w:p>
    <w:bookmarkEnd w:id="31"/>
    <w:bookmarkStart w:id="34" w:name="b.-intention-to-create-legal-relations"/>
    <w:p>
      <w:pPr>
        <w:pStyle w:val="Heading2"/>
      </w:pPr>
      <w:r>
        <w:rPr>
          <w:rFonts w:ascii="Times New Roman" w:hAnsi="Times New Roman"/>
        </w:rPr>
        <w:t xml:space="preserve">B. Intention to create legal relations</w:t>
      </w:r>
    </w:p>
    <w:p>
      <w:pPr>
        <w:pStyle w:val="FirstParagraph"/>
      </w:pPr>
      <w:r>
        <w:rPr>
          <w:rFonts w:ascii="Times New Roman" w:hAnsi="Times New Roman"/>
          <w:sz w:val="24"/>
        </w:rPr>
        <w:t xml:space="preserve">The issue is whether the parties intended to create legal relations, which Rocky must prove and which is judged objectively; presumptions, such as those about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family arrangements</w:t>
      </w:r>
      <w:r>
        <w:rPr>
          <w:rFonts w:ascii="Times New Roman" w:hAnsi="Times New Roman"/>
          <w:sz w:val="24"/>
        </w:rPr>
        <w:t xml:space="preserve">’</w:t>
      </w:r>
      <w:r>
        <w:rPr>
          <w:rFonts w:ascii="Times New Roman" w:hAnsi="Times New Roman"/>
          <w:sz w:val="24"/>
        </w:rPr>
        <w:t xml:space="preserve">, are of doubtful utility.</w:t>
      </w:r>
      <w:r>
        <w:rPr>
          <w:rStyle w:val="FootnoteReference"/>
          <w:rFonts w:ascii="Times New Roman" w:hAnsi="Times New Roman"/>
          <w:sz w:val="24"/>
        </w:rPr>
        <w:footnoteReference w:id="32"/>
      </w:r>
      <w:r>
        <w:rPr>
          <w:rFonts w:ascii="Times New Roman" w:hAnsi="Times New Roman"/>
          <w:sz w:val="24"/>
        </w:rPr>
        <w:t xml:space="preserve"> </w:t>
      </w:r>
      <w:r>
        <w:rPr>
          <w:rFonts w:ascii="Times New Roman" w:hAnsi="Times New Roman"/>
          <w:sz w:val="24"/>
        </w:rPr>
        <w:t xml:space="preserve">Appropriately promissory statements made in the course of business should be enforced absent a clear indication otherwise.</w:t>
      </w:r>
      <w:r>
        <w:rPr>
          <w:rStyle w:val="FootnoteReference"/>
          <w:rFonts w:ascii="Times New Roman" w:hAnsi="Times New Roman"/>
          <w:sz w:val="24"/>
        </w:rPr>
        <w:footnoteReference w:id="33"/>
      </w:r>
    </w:p>
    <w:p>
      <w:pPr>
        <w:pStyle w:val="BodyText"/>
      </w:pPr>
      <w:r>
        <w:rPr>
          <w:rFonts w:ascii="Times New Roman" w:hAnsi="Times New Roman"/>
          <w:sz w:val="24"/>
        </w:rPr>
        <w:t xml:space="preserve">AMPL will rely on Pierre being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Rocky’s cousin</w:t>
      </w:r>
      <w:r>
        <w:rPr>
          <w:rFonts w:ascii="Times New Roman" w:hAnsi="Times New Roman"/>
          <w:sz w:val="24"/>
        </w:rPr>
        <w:t xml:space="preserve">’</w:t>
      </w:r>
      <w:r>
        <w:rPr>
          <w:rFonts w:ascii="Times New Roman" w:hAnsi="Times New Roman"/>
          <w:sz w:val="24"/>
        </w:rPr>
        <w:t xml:space="preserve">, but that is only one circumstance, and the $10,000 was payment for a specific undertaking about a $1,150,000 loan, with nothing indicating otherwise.</w:t>
      </w:r>
    </w:p>
    <w:p>
      <w:pPr>
        <w:pStyle w:val="BodyText"/>
      </w:pPr>
      <w:r>
        <w:rPr>
          <w:rFonts w:ascii="Times New Roman" w:hAnsi="Times New Roman"/>
          <w:sz w:val="24"/>
        </w:rPr>
        <w:t xml:space="preserve">A court would therefore likely find intention, because the commercial setting outweighs the family relationship, though less clearly against Pierre personally.</w:t>
      </w:r>
    </w:p>
    <w:bookmarkEnd w:id="34"/>
    <w:bookmarkStart w:id="39" w:name="c.-consideration"/>
    <w:p>
      <w:pPr>
        <w:pStyle w:val="Heading2"/>
      </w:pPr>
      <w:r>
        <w:rPr>
          <w:rFonts w:ascii="Times New Roman" w:hAnsi="Times New Roman"/>
        </w:rPr>
        <w:t xml:space="preserve">C. Consideration</w:t>
      </w:r>
    </w:p>
    <w:p>
      <w:pPr>
        <w:pStyle w:val="FirstParagraph"/>
      </w:pPr>
      <w:r>
        <w:rPr>
          <w:rFonts w:ascii="Times New Roman" w:hAnsi="Times New Roman"/>
          <w:sz w:val="24"/>
        </w:rPr>
        <w:t xml:space="preserve">The issue is whether Rocky’s promise to ensure prompt payment was consideration. Prima facie, a promise to perform an existing duty is not consideration, at least where a party to a pre-existing contract promises the promisee under it no more than it requires.</w:t>
      </w:r>
      <w:r>
        <w:rPr>
          <w:rStyle w:val="FootnoteReference"/>
          <w:rFonts w:ascii="Times New Roman" w:hAnsi="Times New Roman"/>
          <w:sz w:val="24"/>
        </w:rPr>
        <w:footnoteReference w:id="35"/>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Sundell</w:t>
      </w:r>
      <w:r>
        <w:rPr>
          <w:rFonts w:ascii="Times New Roman" w:hAnsi="Times New Roman"/>
          <w:sz w:val="24"/>
        </w:rPr>
        <w:t xml:space="preserve">, the supplier was already bound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do what was necessary to 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delivery.</w:t>
      </w:r>
      <w:r>
        <w:rPr>
          <w:rStyle w:val="FootnoteReference"/>
          <w:rFonts w:ascii="Times New Roman" w:hAnsi="Times New Roman"/>
          <w:sz w:val="24"/>
        </w:rPr>
        <w:footnoteReference w:id="36"/>
      </w:r>
    </w:p>
    <w:p>
      <w:pPr>
        <w:pStyle w:val="BodyText"/>
      </w:pPr>
      <w:r>
        <w:rPr>
          <w:rFonts w:ascii="Times New Roman" w:hAnsi="Times New Roman"/>
          <w:sz w:val="24"/>
        </w:rPr>
        <w:t xml:space="preserve">AMPL will argue that Rocky, as guarantor, already owed it that duty. Firstly, he promised before the Agreement was signed, so no contract yet bound him. Secondly, if Pierre promised personally, Rocky promised Pierre, and a promise to perform a duty owed to a third party can be consideration.</w:t>
      </w:r>
      <w:r>
        <w:rPr>
          <w:rStyle w:val="FootnoteReference"/>
          <w:rFonts w:ascii="Times New Roman" w:hAnsi="Times New Roman"/>
          <w:sz w:val="24"/>
        </w:rPr>
        <w:footnoteReference w:id="37"/>
      </w:r>
      <w:r>
        <w:rPr>
          <w:rFonts w:ascii="Times New Roman" w:hAnsi="Times New Roman"/>
          <w:sz w:val="24"/>
        </w:rPr>
        <w:t xml:space="preserve"> </w:t>
      </w:r>
      <w:r>
        <w:rPr>
          <w:rFonts w:ascii="Times New Roman" w:hAnsi="Times New Roman"/>
          <w:sz w:val="24"/>
        </w:rPr>
        <w:t xml:space="preserve">Thirdly, ensuring that Grace made all payments promptly, including monthly interest, differs from guaranteeing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Were the promises identical, practical benefit would not assist, as nothing suggests AMPL had reason to doubt Rocky’s performance.</w:t>
      </w:r>
      <w:r>
        <w:rPr>
          <w:rStyle w:val="FootnoteReference"/>
          <w:rFonts w:ascii="Times New Roman" w:hAnsi="Times New Roman"/>
          <w:sz w:val="24"/>
        </w:rPr>
        <w:footnoteReference w:id="38"/>
      </w:r>
    </w:p>
    <w:p>
      <w:pPr>
        <w:pStyle w:val="BodyText"/>
      </w:pPr>
      <w:r>
        <w:rPr>
          <w:rFonts w:ascii="Times New Roman" w:hAnsi="Times New Roman"/>
          <w:sz w:val="24"/>
        </w:rPr>
        <w:t xml:space="preserve">Rocky’s promise was therefore likely consideration because, unlike the</w:t>
      </w:r>
      <w:r>
        <w:rPr>
          <w:rFonts w:ascii="Times New Roman" w:hAnsi="Times New Roman"/>
          <w:sz w:val="24"/>
        </w:rPr>
        <w:t xml:space="preserve"> </w:t>
      </w:r>
      <w:r>
        <w:rPr>
          <w:iCs/>
          <w:rFonts w:ascii="Times New Roman" w:hAnsi="Times New Roman"/>
          <w:i/>
          <w:sz w:val="24"/>
        </w:rPr>
        <w:t xml:space="preserve">Sundell</w:t>
      </w:r>
      <w:r>
        <w:rPr>
          <w:rFonts w:ascii="Times New Roman" w:hAnsi="Times New Roman"/>
          <w:sz w:val="24"/>
        </w:rPr>
        <w:t xml:space="preserve"> </w:t>
      </w:r>
      <w:r>
        <w:rPr>
          <w:rFonts w:ascii="Times New Roman" w:hAnsi="Times New Roman"/>
          <w:sz w:val="24"/>
        </w:rPr>
        <w:t xml:space="preserve">promise, it was not identical with an existing obligation, even if the guarantee bound him first.</w:t>
      </w:r>
    </w:p>
    <w:bookmarkEnd w:id="39"/>
    <w:bookmarkStart w:id="41" w:name="d.-privity"/>
    <w:p>
      <w:pPr>
        <w:pStyle w:val="Heading2"/>
      </w:pPr>
      <w:r>
        <w:rPr>
          <w:rFonts w:ascii="Times New Roman" w:hAnsi="Times New Roman"/>
        </w:rPr>
        <w:t xml:space="preserve">D. Privity</w:t>
      </w:r>
    </w:p>
    <w:p>
      <w:pPr>
        <w:pStyle w:val="FirstParagraph"/>
      </w:pPr>
      <w:r>
        <w:rPr>
          <w:rFonts w:ascii="Times New Roman" w:hAnsi="Times New Roman"/>
          <w:sz w:val="24"/>
        </w:rPr>
        <w:t xml:space="preserve">If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clause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is the $10,000 term, the issue is whether Rocky, like Mrs Coulls, is a stranger to the Agreement. The clause in</w:t>
      </w:r>
      <w:r>
        <w:rPr>
          <w:rFonts w:ascii="Times New Roman" w:hAnsi="Times New Roman"/>
          <w:sz w:val="24"/>
        </w:rPr>
        <w:t xml:space="preserve"> </w:t>
      </w:r>
      <w:r>
        <w:rPr>
          <w:iCs/>
          <w:rFonts w:ascii="Times New Roman" w:hAnsi="Times New Roman"/>
          <w:i/>
          <w:sz w:val="24"/>
        </w:rPr>
        <w:t xml:space="preserve">Coulls</w:t>
      </w:r>
      <w:r>
        <w:rPr>
          <w:rFonts w:ascii="Times New Roman" w:hAnsi="Times New Roman"/>
          <w:sz w:val="24"/>
        </w:rPr>
        <w:t xml:space="preserve"> </w:t>
      </w:r>
      <w:r>
        <w:rPr>
          <w:rFonts w:ascii="Times New Roman" w:hAnsi="Times New Roman"/>
          <w:sz w:val="24"/>
        </w:rPr>
        <w:t xml:space="preserve">merely authorised payment to her,</w:t>
      </w:r>
      <w:r>
        <w:rPr>
          <w:rStyle w:val="FootnoteReference"/>
          <w:rFonts w:ascii="Times New Roman" w:hAnsi="Times New Roman"/>
          <w:sz w:val="24"/>
        </w:rPr>
        <w:footnoteReference w:id="40"/>
      </w:r>
      <w:r>
        <w:rPr>
          <w:rFonts w:ascii="Times New Roman" w:hAnsi="Times New Roman"/>
          <w:sz w:val="24"/>
        </w:rPr>
        <w:t xml:space="preserve"> </w:t>
      </w:r>
      <w:r>
        <w:rPr>
          <w:rFonts w:ascii="Times New Roman" w:hAnsi="Times New Roman"/>
          <w:sz w:val="24"/>
        </w:rPr>
        <w:t xml:space="preserve">whereas Rocky gave his own promise for AMPL’s promise to pay him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directly</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Coulls</w:t>
      </w:r>
      <w:r>
        <w:rPr>
          <w:rFonts w:ascii="Times New Roman" w:hAnsi="Times New Roman"/>
          <w:sz w:val="24"/>
        </w:rPr>
        <w:t xml:space="preserve"> </w:t>
      </w:r>
      <w:r>
        <w:rPr>
          <w:rFonts w:ascii="Times New Roman" w:hAnsi="Times New Roman"/>
          <w:sz w:val="24"/>
        </w:rPr>
        <w:t xml:space="preserve">is therefore distinguishable, and privity is likely no bar.</w:t>
      </w:r>
    </w:p>
    <w:bookmarkEnd w:id="41"/>
    <w:bookmarkStart w:id="43" w:name="e.-condition-of-payment"/>
    <w:p>
      <w:pPr>
        <w:pStyle w:val="Heading2"/>
      </w:pPr>
      <w:r>
        <w:rPr>
          <w:rFonts w:ascii="Times New Roman" w:hAnsi="Times New Roman"/>
        </w:rPr>
        <w:t xml:space="preserve">E. Condition of payment</w:t>
      </w:r>
    </w:p>
    <w:p>
      <w:pPr>
        <w:pStyle w:val="FirstParagraph"/>
      </w:pPr>
      <w:r>
        <w:rPr>
          <w:rFonts w:ascii="Times New Roman" w:hAnsi="Times New Roman"/>
          <w:sz w:val="24"/>
        </w:rPr>
        <w:t xml:space="preserve">The issue is when the $10,000 is payable. As with the signing in</w:t>
      </w:r>
      <w:r>
        <w:rPr>
          <w:rFonts w:ascii="Times New Roman" w:hAnsi="Times New Roman"/>
          <w:sz w:val="24"/>
        </w:rPr>
        <w:t xml:space="preserve"> </w:t>
      </w:r>
      <w:r>
        <w:rPr>
          <w:iCs/>
          <w:rFonts w:ascii="Times New Roman" w:hAnsi="Times New Roman"/>
          <w:i/>
          <w:sz w:val="24"/>
        </w:rPr>
        <w:t xml:space="preserve">Niesmann</w:t>
      </w:r>
      <w:r>
        <w:rPr>
          <w:rFonts w:ascii="Times New Roman" w:hAnsi="Times New Roman"/>
          <w:sz w:val="24"/>
        </w:rPr>
        <w:t xml:space="preserve">, a stipulation may make an event a condition of the obligation to pay rather than of agreement.</w:t>
      </w:r>
      <w:r>
        <w:rPr>
          <w:rStyle w:val="FootnoteReference"/>
          <w:rFonts w:ascii="Times New Roman" w:hAnsi="Times New Roman"/>
          <w:sz w:val="24"/>
        </w:rPr>
        <w:footnoteReference w:id="42"/>
      </w:r>
    </w:p>
    <w:p>
      <w:pPr>
        <w:pStyle w:val="BodyText"/>
      </w:pPr>
      <w:r>
        <w:rPr>
          <w:rFonts w:ascii="Times New Roman" w:hAnsi="Times New Roman"/>
          <w:sz w:val="24"/>
        </w:rPr>
        <w:t xml:space="preserve">Here, the promise to pay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makes repayment such a condition, which may never be fulfilled if Rocky pays under the guarantee, given 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might not pay at all</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On balance, Rocky would likely hold an enforceable promise of $10,000, payable only if Grace repays.</w:t>
      </w:r>
    </w:p>
    <w:bookmarkEnd w:id="43"/>
    <w:bookmarkEnd w:id="44"/>
    <w:bookmarkStart w:id="57" w:name="iii.-ampl-v-rocky"/>
    <w:p>
      <w:pPr>
        <w:pStyle w:val="Heading1"/>
      </w:pPr>
      <w:r>
        <w:rPr>
          <w:rFonts w:ascii="Times New Roman" w:hAnsi="Times New Roman"/>
        </w:rPr>
        <w:t xml:space="preserve">III. AMPL v ROCKY</w:t>
      </w:r>
    </w:p>
    <w:bookmarkStart w:id="47" w:name="a.-agreement-1"/>
    <w:p>
      <w:pPr>
        <w:pStyle w:val="Heading2"/>
      </w:pPr>
      <w:r>
        <w:rPr>
          <w:rFonts w:ascii="Times New Roman" w:hAnsi="Times New Roman"/>
        </w:rPr>
        <w:t xml:space="preserve">A. Agreement</w:t>
      </w:r>
    </w:p>
    <w:p>
      <w:pPr>
        <w:pStyle w:val="FirstParagraph"/>
      </w:pPr>
      <w:r>
        <w:rPr>
          <w:rFonts w:ascii="Times New Roman" w:hAnsi="Times New Roman"/>
          <w:sz w:val="24"/>
        </w:rPr>
        <w:t xml:space="preserve">The issue is whether Rocky is bound by the guarantee. Prima facie, a contract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signed by Grace and AMPL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cannot impose obligations on Rocky.</w:t>
      </w:r>
      <w:r>
        <w:rPr>
          <w:rStyle w:val="FootnoteReference"/>
          <w:rFonts w:ascii="Times New Roman" w:hAnsi="Times New Roman"/>
          <w:sz w:val="24"/>
        </w:rPr>
        <w:footnoteReference w:id="45"/>
      </w:r>
      <w:r>
        <w:rPr>
          <w:rFonts w:ascii="Times New Roman" w:hAnsi="Times New Roman"/>
          <w:sz w:val="24"/>
        </w:rPr>
        <w:t xml:space="preserve"> </w:t>
      </w:r>
      <w:r>
        <w:rPr>
          <w:rFonts w:ascii="Times New Roman" w:hAnsi="Times New Roman"/>
          <w:sz w:val="24"/>
        </w:rPr>
        <w:t xml:space="preserve">Silence is generally insufficient acceptance, but an offeree who takes the benefit of an offer, knowing its terms and with a reasonable opportunity to reject it, may be held to have accepted it.</w:t>
      </w:r>
      <w:r>
        <w:rPr>
          <w:rStyle w:val="FootnoteReference"/>
          <w:rFonts w:ascii="Times New Roman" w:hAnsi="Times New Roman"/>
          <w:sz w:val="24"/>
        </w:rPr>
        <w:footnoteReference w:id="46"/>
      </w:r>
    </w:p>
    <w:p>
      <w:pPr>
        <w:pStyle w:val="BodyText"/>
      </w:pPr>
      <w:r>
        <w:rPr>
          <w:rFonts w:ascii="Times New Roman" w:hAnsi="Times New Roman"/>
          <w:sz w:val="24"/>
        </w:rPr>
        <w:t xml:space="preserve">Rocky’s recorded words promised to ensure payment, not to guarantee it. However, he requested the loan, attended the settling of an Agreement naming him as guarantor, and raised no recorded objection. The guarantee is also described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provided by Rocky</w:t>
      </w:r>
      <w:r>
        <w:rPr>
          <w:rFonts w:ascii="Times New Roman" w:hAnsi="Times New Roman"/>
          <w:sz w:val="24"/>
        </w:rPr>
        <w:t xml:space="preserve">’</w:t>
      </w:r>
      <w:r>
        <w:rPr>
          <w:rFonts w:ascii="Times New Roman" w:hAnsi="Times New Roman"/>
          <w:sz w:val="24"/>
        </w:rPr>
        <w:t xml:space="preserve">. If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clause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is the guarantee, it was arguably included as part of his $10,000 bargain; if it is the $10,000 term, Rocky’s benefit was written into that Agreement.</w:t>
      </w:r>
    </w:p>
    <w:p>
      <w:pPr>
        <w:pStyle w:val="BodyText"/>
      </w:pPr>
      <w:r>
        <w:rPr>
          <w:rFonts w:ascii="Times New Roman" w:hAnsi="Times New Roman"/>
          <w:sz w:val="24"/>
        </w:rPr>
        <w:t xml:space="preserve">On balance, a court would likely find that Rocky accepted the guarantee by conduct, because he took a benefit tied to the Agreement without recorded objection. Further information is needed on whether he knew of, signed or expressly agreed to the guarantee.</w:t>
      </w:r>
    </w:p>
    <w:bookmarkEnd w:id="47"/>
    <w:bookmarkStart w:id="52" w:name="b.-consideration"/>
    <w:p>
      <w:pPr>
        <w:pStyle w:val="Heading2"/>
      </w:pPr>
      <w:r>
        <w:rPr>
          <w:rFonts w:ascii="Times New Roman" w:hAnsi="Times New Roman"/>
        </w:rPr>
        <w:t xml:space="preserve">B. Consideration</w:t>
      </w:r>
    </w:p>
    <w:p>
      <w:pPr>
        <w:pStyle w:val="FirstParagraph"/>
      </w:pPr>
      <w:r>
        <w:rPr>
          <w:rFonts w:ascii="Times New Roman" w:hAnsi="Times New Roman"/>
          <w:sz w:val="24"/>
        </w:rPr>
        <w:t xml:space="preserve">The issue is whether the guarantee, given after AMPL’s 27 February advance, is supported by consideration. Prima facie, a past act supports no promise beyond what the law implies,</w:t>
      </w:r>
      <w:r>
        <w:rPr>
          <w:rStyle w:val="FootnoteReference"/>
          <w:rFonts w:ascii="Times New Roman" w:hAnsi="Times New Roman"/>
          <w:sz w:val="24"/>
        </w:rPr>
        <w:footnoteReference w:id="48"/>
      </w:r>
      <w:r>
        <w:rPr>
          <w:rFonts w:ascii="Times New Roman" w:hAnsi="Times New Roman"/>
          <w:sz w:val="24"/>
        </w:rPr>
        <w:t xml:space="preserve"> </w:t>
      </w:r>
      <w:r>
        <w:rPr>
          <w:rFonts w:ascii="Times New Roman" w:hAnsi="Times New Roman"/>
          <w:sz w:val="24"/>
        </w:rPr>
        <w:t xml:space="preserve">unless it was done at the promisor’s request, the parties understood that it was to be remunerated, and the remuneration would have been enforceable if promised in advance.</w:t>
      </w:r>
      <w:r>
        <w:rPr>
          <w:rStyle w:val="FootnoteReference"/>
          <w:rFonts w:ascii="Times New Roman" w:hAnsi="Times New Roman"/>
          <w:sz w:val="24"/>
        </w:rPr>
        <w:footnoteReference w:id="49"/>
      </w:r>
      <w:r>
        <w:rPr>
          <w:rFonts w:ascii="Times New Roman" w:hAnsi="Times New Roman"/>
          <w:sz w:val="24"/>
        </w:rPr>
        <w:t xml:space="preserve"> </w:t>
      </w:r>
      <w:r>
        <w:rPr>
          <w:rFonts w:ascii="Times New Roman" w:hAnsi="Times New Roman"/>
          <w:sz w:val="24"/>
        </w:rPr>
        <w:t xml:space="preserve">However, consideration need not move to the promisor,</w:t>
      </w:r>
      <w:r>
        <w:rPr>
          <w:rStyle w:val="FootnoteReference"/>
          <w:rFonts w:ascii="Times New Roman" w:hAnsi="Times New Roman"/>
          <w:sz w:val="24"/>
        </w:rPr>
        <w:footnoteReference w:id="50"/>
      </w:r>
      <w:r>
        <w:rPr>
          <w:rFonts w:ascii="Times New Roman" w:hAnsi="Times New Roman"/>
          <w:sz w:val="24"/>
        </w:rPr>
        <w:t xml:space="preserve"> </w:t>
      </w:r>
      <w:r>
        <w:rPr>
          <w:rFonts w:ascii="Times New Roman" w:hAnsi="Times New Roman"/>
          <w:sz w:val="24"/>
        </w:rPr>
        <w:t xml:space="preserve">and may be a creditor’s forbearance.</w:t>
      </w:r>
      <w:r>
        <w:rPr>
          <w:rStyle w:val="FootnoteReference"/>
          <w:rFonts w:ascii="Times New Roman" w:hAnsi="Times New Roman"/>
          <w:sz w:val="24"/>
        </w:rPr>
        <w:footnoteReference w:id="51"/>
      </w:r>
    </w:p>
    <w:p>
      <w:pPr>
        <w:pStyle w:val="BodyText"/>
      </w:pPr>
      <w:r>
        <w:rPr>
          <w:rFonts w:ascii="Times New Roman" w:hAnsi="Times New Roman"/>
          <w:sz w:val="24"/>
        </w:rPr>
        <w:t xml:space="preserve">Here,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Rocky 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the advance, but nothing shows an understanding on 27 February that he would guarantee it. Yet, in the Loan Agreement, AMPL promised Grace 12 months’ credit at 4%, unless the advance was already made on that term. If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clause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is the guarantee, AMPL also arguably promised Rocky $10,000 for it. Rocky’s two defences therefore conflict: if 8 April created the term, as his timing argument requires, AMPL gave fresh consideration that day.</w:t>
      </w:r>
    </w:p>
    <w:p>
      <w:pPr>
        <w:pStyle w:val="BodyText"/>
      </w:pPr>
      <w:r>
        <w:rPr>
          <w:rFonts w:ascii="Times New Roman" w:hAnsi="Times New Roman"/>
          <w:sz w:val="24"/>
        </w:rPr>
        <w:t xml:space="preserve">On balance, the guarantee is likely supported by consideration, because AMPL’s 8 April promises, not the past advance, were given in exchange for it.</w:t>
      </w:r>
    </w:p>
    <w:bookmarkEnd w:id="52"/>
    <w:bookmarkStart w:id="56" w:name="c.-certainty-and-construction"/>
    <w:p>
      <w:pPr>
        <w:pStyle w:val="Heading2"/>
      </w:pPr>
      <w:r>
        <w:rPr>
          <w:rFonts w:ascii="Times New Roman" w:hAnsi="Times New Roman"/>
        </w:rPr>
        <w:t xml:space="preserve">C. Certainty and construction</w:t>
      </w:r>
    </w:p>
    <w:p>
      <w:pPr>
        <w:pStyle w:val="FirstParagraph"/>
      </w:pPr>
      <w:r>
        <w:rPr>
          <w:rFonts w:ascii="Times New Roman" w:hAnsi="Times New Roman"/>
          <w:sz w:val="24"/>
        </w:rPr>
        <w:t xml:space="preserve">The issue is whether AMPL’s 9 March call was premature, which depends on when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expiry of 12 months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fell. A term is uncertain only if the court cannot decide which of its possible meanings the parties intended.</w:t>
      </w:r>
      <w:r>
        <w:rPr>
          <w:rStyle w:val="FootnoteReference"/>
          <w:rFonts w:ascii="Times New Roman" w:hAnsi="Times New Roman"/>
          <w:sz w:val="24"/>
        </w:rPr>
        <w:footnoteReference w:id="53"/>
      </w:r>
      <w:r>
        <w:rPr>
          <w:rFonts w:ascii="Times New Roman" w:hAnsi="Times New Roman"/>
          <w:sz w:val="24"/>
        </w:rPr>
        <w:t xml:space="preserve"> </w:t>
      </w:r>
      <w:r>
        <w:rPr>
          <w:rFonts w:ascii="Times New Roman" w:hAnsi="Times New Roman"/>
          <w:sz w:val="24"/>
        </w:rPr>
        <w:t xml:space="preserve">If a term is ambiguous, mutually known facts showing the genesis of the transaction are admissible to construe it,</w:t>
      </w:r>
      <w:r>
        <w:rPr>
          <w:rStyle w:val="FootnoteReference"/>
          <w:rFonts w:ascii="Times New Roman" w:hAnsi="Times New Roman"/>
          <w:sz w:val="24"/>
        </w:rPr>
        <w:footnoteReference w:id="54"/>
      </w:r>
      <w:r>
        <w:rPr>
          <w:rFonts w:ascii="Times New Roman" w:hAnsi="Times New Roman"/>
          <w:sz w:val="24"/>
        </w:rPr>
        <w:t xml:space="preserve"> </w:t>
      </w:r>
      <w:r>
        <w:rPr>
          <w:rFonts w:ascii="Times New Roman" w:hAnsi="Times New Roman"/>
          <w:sz w:val="24"/>
        </w:rPr>
        <w:t xml:space="preserve">but post-contractual conduct is not.</w:t>
      </w:r>
      <w:r>
        <w:rPr>
          <w:rStyle w:val="FootnoteReference"/>
          <w:rFonts w:ascii="Times New Roman" w:hAnsi="Times New Roman"/>
          <w:sz w:val="24"/>
        </w:rPr>
        <w:footnoteReference w:id="55"/>
      </w:r>
    </w:p>
    <w:p>
      <w:pPr>
        <w:pStyle w:val="BodyText"/>
      </w:pPr>
      <w:r>
        <w:rPr>
          <w:rFonts w:ascii="Times New Roman" w:hAnsi="Times New Roman"/>
          <w:sz w:val="24"/>
        </w:rPr>
        <w:t xml:space="preserve">Rocky will argue that the Agreement created the term, as nothing shows a term was agreed on 27 February, when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 to provide the money to Grace</w:t>
      </w:r>
      <w:r>
        <w:rPr>
          <w:rFonts w:ascii="Times New Roman" w:hAnsi="Times New Roman"/>
          <w:sz w:val="24"/>
        </w:rPr>
        <w:t xml:space="preserve">’</w:t>
      </w:r>
      <w:r>
        <w:rPr>
          <w:rFonts w:ascii="Times New Roman" w:hAnsi="Times New Roman"/>
          <w:sz w:val="24"/>
        </w:rPr>
        <w:t xml:space="preserve">. AMPL will reply that the loan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was recorded as $1,150,000</w:t>
      </w:r>
      <w:r>
        <w:rPr>
          <w:rFonts w:ascii="Times New Roman" w:hAnsi="Times New Roman"/>
          <w:sz w:val="24"/>
        </w:rPr>
        <w:t xml:space="preserve">’</w:t>
      </w:r>
      <w:r>
        <w:rPr>
          <w:rFonts w:ascii="Times New Roman" w:hAnsi="Times New Roman"/>
          <w:sz w:val="24"/>
        </w:rPr>
        <w:t xml:space="preserve">, so the Agreement recorded money already lent, and that the advance, known to all three, shows the term ran from 27 February. Later conduct, including the interest payments and Rocky’s own 5 March demand, cannot construe the term.</w:t>
      </w:r>
    </w:p>
    <w:p>
      <w:pPr>
        <w:pStyle w:val="BodyText"/>
      </w:pPr>
      <w:r>
        <w:rPr>
          <w:rFonts w:ascii="Times New Roman" w:hAnsi="Times New Roman"/>
          <w:sz w:val="24"/>
        </w:rPr>
        <w:t xml:space="preserve">On balance, a court would likely find the term certain, running from 8 April 2024, because the Agreement created the term, and the advance shows only when the money was lent. Likewise,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describes the amount, not the start of the term. Further information is needed on whether the Agreement tied the term or interest to the advance. If it did, the call was timely, and Rocky likely also breached his promise to ensure prompt payment.</w:t>
      </w:r>
    </w:p>
    <w:p>
      <w:pPr>
        <w:pStyle w:val="BodyText"/>
      </w:pPr>
      <w:r>
        <w:rPr>
          <w:rFonts w:ascii="Times New Roman" w:hAnsi="Times New Roman"/>
          <w:sz w:val="24"/>
        </w:rPr>
        <w:t xml:space="preserve">AMPL would therefore likely hold an enforceable guarantee but could not call on it before 8 April 2025, so Rocky should resist the 9 March call.</w:t>
      </w:r>
    </w:p>
    <w:bookmarkEnd w:id="56"/>
    <w:bookmarkEnd w:id="57"/>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361 (</w:t>
      </w:r>
      <w:r>
        <w:rPr>
          <w:rFonts w:ascii="Times New Roman" w:hAnsi="Times New Roman" w:cs="Times New Roman"/>
        </w:rPr>
        <w:t xml:space="preserve">‘</w:t>
      </w:r>
      <w:r>
        <w:rPr>
          <w:iCs/>
          <w:i/>
          <w:rFonts w:ascii="Times New Roman" w:hAnsi="Times New Roman" w:cs="Times New Roman"/>
        </w:rPr>
        <w:t xml:space="preserve">Masters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Rossiter v Miller</w:t>
      </w:r>
      <w:r>
        <w:rPr>
          <w:rFonts w:ascii="Times New Roman" w:hAnsi="Times New Roman" w:cs="Times New Roman"/>
        </w:rPr>
        <w:t xml:space="preserve"> </w:t>
      </w:r>
      <w:r>
        <w:rPr>
          <w:rFonts w:ascii="Times New Roman" w:hAnsi="Times New Roman" w:cs="Times New Roman"/>
        </w:rPr>
        <w:t xml:space="preserve">(1878) 3 App Cas 1124, 1149 (Lord O’Hagan).</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581 (Gibbs CJ)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Placer Development Ltd v Commonwealth</w:t>
      </w:r>
      <w:r>
        <w:rPr>
          <w:rFonts w:ascii="Times New Roman" w:hAnsi="Times New Roman" w:cs="Times New Roman"/>
        </w:rPr>
        <w:t xml:space="preserve"> </w:t>
      </w:r>
      <w:r>
        <w:rPr>
          <w:rFonts w:ascii="Times New Roman" w:hAnsi="Times New Roman" w:cs="Times New Roman"/>
        </w:rPr>
        <w:t xml:space="preserve">(1969) 121 CLR 353, 356 (Kitto J).</w:t>
      </w:r>
    </w:p>
  </w:footnote>
  <w:footnote w:id="2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2) 581–2 (Gibbs CJ), 588–90 (Mason J).</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 v Kirwan</w:t>
      </w:r>
      <w:r>
        <w:rPr>
          <w:rFonts w:ascii="Times New Roman" w:hAnsi="Times New Roman" w:cs="Times New Roman"/>
        </w:rPr>
        <w:t xml:space="preserve"> </w:t>
      </w:r>
      <w:r>
        <w:rPr>
          <w:rFonts w:ascii="Times New Roman" w:hAnsi="Times New Roman" w:cs="Times New Roman"/>
        </w:rPr>
        <w:t xml:space="preserve">(1973) 129 CLR 629, 646–7 (Gibbs J).</w:t>
      </w:r>
    </w:p>
  </w:footnote>
  <w:footnote w:id="2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486–7 (Taylor and Owen JJ)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Picwoods Pty Ltd v Panagopoulos</w:t>
      </w:r>
      <w:r>
        <w:rPr>
          <w:rFonts w:ascii="Times New Roman" w:hAnsi="Times New Roman" w:cs="Times New Roman"/>
        </w:rPr>
        <w:t xml:space="preserve"> </w:t>
      </w:r>
      <w:r>
        <w:rPr>
          <w:rFonts w:ascii="Times New Roman" w:hAnsi="Times New Roman" w:cs="Times New Roman"/>
        </w:rPr>
        <w:t xml:space="preserve">[2004] NSWSC 978, [84]–[85].</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Pola v Commonwealth Bank of Australia</w:t>
      </w:r>
      <w:r>
        <w:rPr>
          <w:rFonts w:ascii="Times New Roman" w:hAnsi="Times New Roman" w:cs="Times New Roman"/>
        </w:rPr>
        <w:t xml:space="preserve"> </w:t>
      </w:r>
      <w:r>
        <w:rPr>
          <w:rFonts w:ascii="Times New Roman" w:hAnsi="Times New Roman" w:cs="Times New Roman"/>
        </w:rPr>
        <w:t xml:space="preserve">(Unreported, Federal Court of Australia, Sundberg J, 19 December 1997) 12, quoted in Andrew Robertson and Jeannie Paterson,</w:t>
      </w:r>
      <w:r>
        <w:rPr>
          <w:rFonts w:ascii="Times New Roman" w:hAnsi="Times New Roman" w:cs="Times New Roman"/>
        </w:rPr>
        <w:t xml:space="preserve"> </w:t>
      </w:r>
      <w:r>
        <w:rPr>
          <w:iCs/>
          <w:i/>
          <w:rFonts w:ascii="Times New Roman" w:hAnsi="Times New Roman" w:cs="Times New Roman"/>
        </w:rPr>
        <w:t xml:space="preserve">Principles of Contract Law</w:t>
      </w:r>
      <w:r>
        <w:rPr>
          <w:rFonts w:ascii="Times New Roman" w:hAnsi="Times New Roman" w:cs="Times New Roman"/>
        </w:rPr>
        <w:t xml:space="preserve"> </w:t>
      </w:r>
      <w:r>
        <w:rPr>
          <w:rFonts w:ascii="Times New Roman" w:hAnsi="Times New Roman" w:cs="Times New Roman"/>
        </w:rPr>
        <w:t xml:space="preserve">(Lawbook Co, 7th ed, 2025) 289–90 [11.80].</w:t>
      </w:r>
    </w:p>
  </w:footnote>
  <w:footnote w:id="3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HCA 8; (2002) 209 CLR 95, [25]–[26] (Gaudron, McHugh, Hayne and Callinan JJ).</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523 (Rogers CJ Comm D).</w:t>
      </w:r>
    </w:p>
  </w:footnote>
  <w:footnote w:id="3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3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 (</w:t>
      </w:r>
      <w:r>
        <w:rPr>
          <w:rFonts w:ascii="Times New Roman" w:hAnsi="Times New Roman" w:cs="Times New Roman"/>
        </w:rPr>
        <w:t xml:space="preserve">‘</w:t>
      </w:r>
      <w:r>
        <w:rPr>
          <w:iCs/>
          <w:i/>
          <w:rFonts w:ascii="Times New Roman" w:hAnsi="Times New Roman" w:cs="Times New Roman"/>
        </w:rPr>
        <w:t xml:space="preserve">Sundell</w:t>
      </w:r>
      <w:r>
        <w:rPr>
          <w:rFonts w:ascii="Times New Roman" w:hAnsi="Times New Roman" w:cs="Times New Roman"/>
        </w:rPr>
        <w:t xml:space="preserve">’</w:t>
      </w:r>
      <w:r>
        <w:rPr>
          <w:rFonts w:ascii="Times New Roman" w:hAnsi="Times New Roman" w:cs="Times New Roman"/>
        </w:rPr>
        <w:t xml:space="preserve">).</w:t>
      </w:r>
    </w:p>
  </w:footnote>
  <w:footnote w:id="3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 v Lau Yiu Long</w:t>
      </w:r>
      <w:r>
        <w:rPr>
          <w:rFonts w:ascii="Times New Roman" w:hAnsi="Times New Roman" w:cs="Times New Roman"/>
        </w:rPr>
        <w:t xml:space="preserve"> </w:t>
      </w:r>
      <w:r>
        <w:rPr>
          <w:rFonts w:ascii="Times New Roman" w:hAnsi="Times New Roman" w:cs="Times New Roman"/>
        </w:rPr>
        <w:t xml:space="preserve">[1980] AC 614, 631–2 (</w:t>
      </w:r>
      <w:r>
        <w:rPr>
          <w:rFonts w:ascii="Times New Roman" w:hAnsi="Times New Roman" w:cs="Times New Roman"/>
        </w:rPr>
        <w:t xml:space="preserve">‘</w:t>
      </w:r>
      <w:r>
        <w:rPr>
          <w:iCs/>
          <w:i/>
          <w:rFonts w:ascii="Times New Roman" w:hAnsi="Times New Roman" w:cs="Times New Roman"/>
        </w:rPr>
        <w:t xml:space="preserve">Pao On</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 </w:t>
      </w:r>
      <w:r>
        <w:rPr>
          <w:iCs/>
          <w:i/>
          <w:rFonts w:ascii="Times New Roman" w:hAnsi="Times New Roman" w:cs="Times New Roman"/>
        </w:rPr>
        <w:t xml:space="preserve">Williams v Roffey Bros &amp; Nicholls (Contractors) Ltd</w:t>
      </w:r>
      <w:r>
        <w:rPr>
          <w:rFonts w:ascii="Times New Roman" w:hAnsi="Times New Roman" w:cs="Times New Roman"/>
        </w:rPr>
        <w:t xml:space="preserve"> </w:t>
      </w:r>
      <w:r>
        <w:rPr>
          <w:rFonts w:ascii="Times New Roman" w:hAnsi="Times New Roman" w:cs="Times New Roman"/>
        </w:rPr>
        <w:t xml:space="preserve">[1991] 1 QB 1, 15 (Glidewell LJ).</w:t>
      </w:r>
    </w:p>
  </w:footnote>
  <w:footnote w:id="3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Musumeci v Winadell Pty Ltd</w:t>
      </w:r>
      <w:r>
        <w:rPr>
          <w:rFonts w:ascii="Times New Roman" w:hAnsi="Times New Roman" w:cs="Times New Roman"/>
        </w:rPr>
        <w:t xml:space="preserve"> </w:t>
      </w:r>
      <w:r>
        <w:rPr>
          <w:rFonts w:ascii="Times New Roman" w:hAnsi="Times New Roman" w:cs="Times New Roman"/>
        </w:rPr>
        <w:t xml:space="preserve">(1994) 34 NSWLR 723, 747 (Santow J).</w:t>
      </w:r>
    </w:p>
  </w:footnote>
  <w:footnote w:id="4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5) 487 (Taylor and Owen JJ), 482–3 (McTiernan J).</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w:t>
      </w:r>
      <w:r>
        <w:rPr>
          <w:rFonts w:ascii="Times New Roman" w:hAnsi="Times New Roman" w:cs="Times New Roman"/>
        </w:rPr>
        <w:t xml:space="preserve"> </w:t>
      </w:r>
      <w:r>
        <w:rPr>
          <w:rFonts w:ascii="Times New Roman" w:hAnsi="Times New Roman" w:cs="Times New Roman"/>
        </w:rPr>
        <w:t xml:space="preserve">(n 1) 361, citing</w:t>
      </w:r>
      <w:r>
        <w:rPr>
          <w:rFonts w:ascii="Times New Roman" w:hAnsi="Times New Roman" w:cs="Times New Roman"/>
        </w:rPr>
        <w:t xml:space="preserve"> </w:t>
      </w:r>
      <w:r>
        <w:rPr>
          <w:iCs/>
          <w:i/>
          <w:rFonts w:ascii="Times New Roman" w:hAnsi="Times New Roman" w:cs="Times New Roman"/>
        </w:rPr>
        <w:t xml:space="preserve">Niesmann v Collingridge</w:t>
      </w:r>
      <w:r>
        <w:rPr>
          <w:rFonts w:ascii="Times New Roman" w:hAnsi="Times New Roman" w:cs="Times New Roman"/>
        </w:rPr>
        <w:t xml:space="preserve"> </w:t>
      </w:r>
      <w:r>
        <w:rPr>
          <w:rFonts w:ascii="Times New Roman" w:hAnsi="Times New Roman" w:cs="Times New Roman"/>
        </w:rPr>
        <w:t xml:space="preserve">(1921) 29 CLR 177 (</w:t>
      </w:r>
      <w:r>
        <w:rPr>
          <w:rFonts w:ascii="Times New Roman" w:hAnsi="Times New Roman" w:cs="Times New Roman"/>
        </w:rPr>
        <w:t xml:space="preserve">‘</w:t>
      </w:r>
      <w:r>
        <w:rPr>
          <w:iCs/>
          <w:i/>
          <w:rFonts w:ascii="Times New Roman" w:hAnsi="Times New Roman" w:cs="Times New Roman"/>
        </w:rPr>
        <w:t xml:space="preserve">Niesmann</w:t>
      </w:r>
      <w:r>
        <w:rPr>
          <w:rFonts w:ascii="Times New Roman" w:hAnsi="Times New Roman" w:cs="Times New Roman"/>
        </w:rPr>
        <w:t xml:space="preserve">’</w:t>
      </w:r>
      <w:r>
        <w:rPr>
          <w:rFonts w:ascii="Times New Roman" w:hAnsi="Times New Roman" w:cs="Times New Roman"/>
        </w:rPr>
        <w:t xml:space="preserve">).</w:t>
      </w:r>
    </w:p>
  </w:footnote>
  <w:footnote w:id="4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Taddy &amp; Co v Sterious &amp; Co</w:t>
      </w:r>
      <w:r>
        <w:rPr>
          <w:rFonts w:ascii="Times New Roman" w:hAnsi="Times New Roman" w:cs="Times New Roman"/>
        </w:rPr>
        <w:t xml:space="preserve"> </w:t>
      </w:r>
      <w:r>
        <w:rPr>
          <w:rFonts w:ascii="Times New Roman" w:hAnsi="Times New Roman" w:cs="Times New Roman"/>
        </w:rPr>
        <w:t xml:space="preserve">[1904] 1 Ch 354.</w:t>
      </w:r>
    </w:p>
  </w:footnote>
  <w:footnote w:id="4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534–5 (McHugh JA).</w:t>
      </w:r>
    </w:p>
  </w:footnote>
  <w:footnote w:id="4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w:t>
      </w:r>
    </w:p>
  </w:footnote>
  <w:footnote w:id="4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w:t>
      </w:r>
      <w:r>
        <w:rPr>
          <w:rFonts w:ascii="Times New Roman" w:hAnsi="Times New Roman" w:cs="Times New Roman"/>
        </w:rPr>
        <w:t xml:space="preserve"> </w:t>
      </w:r>
      <w:r>
        <w:rPr>
          <w:rFonts w:ascii="Times New Roman" w:hAnsi="Times New Roman" w:cs="Times New Roman"/>
        </w:rPr>
        <w:t xml:space="preserve">(n 13) 629–30.</w:t>
      </w:r>
    </w:p>
  </w:footnote>
  <w:footnote w:id="5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Robertson and Paterson (n 8) 103 [4.80].</w:t>
      </w:r>
    </w:p>
  </w:footnote>
  <w:footnote w:id="5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w:t>
      </w:r>
    </w:p>
  </w:footnote>
  <w:footnote w:id="5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2) 578 (Gibbs CJ).</w:t>
      </w:r>
    </w:p>
  </w:footnote>
  <w:footnote w:id="5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NSWCA 61; (2001) 53 NSWLR 153, 163 (Heydon JA), 191 (Ipp AJA, Mason P agreeing).</w:t>
      </w:r>
    </w:p>
  </w:footnote>
  <w:footnote w:id="5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164 (Heydon JA).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2026-10-09T13:54:37Z</dcterms:created>
  <dcterms:modified xsi:type="dcterms:W3CDTF">2026-10-09T13:54:37Z</dcterms:modified>
</cp:coreProperties>
</file>

<file path=docProps/custom.xml><?xml version="1.0" encoding="utf-8"?>
<Properties xmlns="http://schemas.openxmlformats.org/officeDocument/2006/custom-properties" xmlns:vt="http://schemas.openxmlformats.org/officeDocument/2006/docPropsVTypes"/>
</file>