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Word count: 1,488</w:t>
      </w:r>
    </w:p>
    <w:bookmarkStart w:id="36" w:name="i.-rocky-v-grace"/>
    <w:p>
      <w:pPr>
        <w:pStyle w:val="Heading1"/>
      </w:pPr>
      <w:r>
        <w:rPr>
          <w:rFonts w:ascii="Times New Roman" w:hAnsi="Times New Roman"/>
        </w:rPr>
        <w:t xml:space="preserve">I. ROCKY v GRACE</w:t>
      </w:r>
    </w:p>
    <w:bookmarkStart w:id="22" w:name="a.-agreement"/>
    <w:p>
      <w:pPr>
        <w:pStyle w:val="Heading2"/>
      </w:pPr>
      <w:r>
        <w:rPr>
          <w:rFonts w:ascii="Times New Roman" w:hAnsi="Times New Roman"/>
        </w:rPr>
        <w:t xml:space="preserve">A. Agreement</w:t>
      </w:r>
    </w:p>
    <w:p>
      <w:pPr>
        <w:pStyle w:val="FirstParagraph"/>
      </w:pPr>
      <w:r>
        <w:rPr>
          <w:rFonts w:ascii="Times New Roman" w:hAnsi="Times New Roman"/>
          <w:sz w:val="24"/>
        </w:rPr>
        <w:t xml:space="preserve">Whether Rocky’s email was an offer accepted by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turns on its true construction, as present promise or future possibility;</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since the problem records no advance by Rocky, a contract could only oblige him to lend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 Rocky’s best point is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Potential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wait and see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mark the email as minutes. Yet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unlike</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fixed the amount, date, term and rate, and its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 year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matched Rocky’s 5 February refusal of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long-term loan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Grace had invited him to offer;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answered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On balance, Rocky’s promise was likely an offer, because its terms were fixed, though its qualifier decides whether he was bound.</w:t>
      </w:r>
    </w:p>
    <w:bookmarkEnd w:id="22"/>
    <w:bookmarkStart w:id="27" w:name="b.-intention-to-create-legal-relations"/>
    <w:p>
      <w:pPr>
        <w:pStyle w:val="Heading2"/>
      </w:pPr>
      <w:r>
        <w:rPr>
          <w:rFonts w:ascii="Times New Roman" w:hAnsi="Times New Roman"/>
        </w:rPr>
        <w:t xml:space="preserve">B. Intention to create legal relations</w:t>
      </w:r>
    </w:p>
    <w:p>
      <w:pPr>
        <w:pStyle w:val="FirstParagraph"/>
      </w:pPr>
      <w:r>
        <w:rPr>
          <w:rFonts w:ascii="Times New Roman" w:hAnsi="Times New Roman"/>
          <w:sz w:val="24"/>
        </w:rPr>
        <w:t xml:space="preserve">Whether a promise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was intended to bind is judged objectively;</w:t>
      </w:r>
      <w:r>
        <w:rPr>
          <w:rStyle w:val="FootnoteReference"/>
          <w:rFonts w:ascii="Times New Roman" w:hAnsi="Times New Roman"/>
          <w:sz w:val="24"/>
        </w:rPr>
        <w:footnoteReference w:id="23"/>
      </w:r>
      <w:r>
        <w:rPr>
          <w:rFonts w:ascii="Times New Roman" w:hAnsi="Times New Roman"/>
          <w:sz w:val="24"/>
        </w:rPr>
        <w:t xml:space="preserve"> </w:t>
      </w:r>
      <w:r>
        <w:rPr>
          <w:rFonts w:ascii="Times New Roman" w:hAnsi="Times New Roman"/>
          <w:sz w:val="24"/>
        </w:rPr>
        <w:t xml:space="preserve">under</w:t>
      </w:r>
      <w:r>
        <w:rPr>
          <w:rFonts w:ascii="Times New Roman" w:hAnsi="Times New Roman"/>
          <w:sz w:val="24"/>
        </w:rPr>
        <w:t xml:space="preserve"> </w:t>
      </w:r>
      <w:r>
        <w:rPr>
          <w:iCs/>
          <w:rFonts w:ascii="Times New Roman" w:hAnsi="Times New Roman"/>
          <w:i/>
          <w:sz w:val="24"/>
        </w:rPr>
        <w:t xml:space="preserve">Masters</w:t>
      </w:r>
      <w:r>
        <w:rPr>
          <w:rFonts w:ascii="Times New Roman" w:hAnsi="Times New Roman"/>
          <w:sz w:val="24"/>
        </w:rPr>
        <w:t xml:space="preserve">, words 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prima facie create an overriding condition, though no formula is decisive</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iCs/>
          <w:rFonts w:ascii="Times New Roman" w:hAnsi="Times New Roman"/>
          <w:i/>
          <w:sz w:val="24"/>
        </w:rPr>
        <w:t xml:space="preserve">Tasman</w:t>
      </w:r>
      <w:r>
        <w:rPr>
          <w:rFonts w:ascii="Times New Roman" w:hAnsi="Times New Roman"/>
          <w:sz w:val="24"/>
        </w:rPr>
        <w:t xml:space="preserve"> </w:t>
      </w:r>
      <w:r>
        <w:rPr>
          <w:rFonts w:ascii="Times New Roman" w:hAnsi="Times New Roman"/>
          <w:sz w:val="24"/>
        </w:rPr>
        <w:t xml:space="preserve">calls its categories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intellectual aids</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Grace’s best point is that co-developers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since 2017</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exchanged promissory words and contemplated no formal contract.</w:t>
      </w:r>
      <w:r>
        <w:rPr>
          <w:rFonts w:ascii="Times New Roman" w:hAnsi="Times New Roman"/>
          <w:sz w:val="24"/>
        </w:rPr>
        <w:t xml:space="preserve"> </w:t>
      </w:r>
      <w:r>
        <w:rPr>
          <w:iCs/>
          <w:rFonts w:ascii="Times New Roman" w:hAnsi="Times New Roman"/>
          <w:i/>
          <w:sz w:val="24"/>
        </w:rPr>
        <w:t xml:space="preserve">Masters</w:t>
      </w:r>
      <w:r>
        <w:rPr>
          <w:rFonts w:ascii="Times New Roman" w:hAnsi="Times New Roman"/>
          <w:sz w:val="24"/>
        </w:rPr>
        <w:t xml:space="preserve">, however, asks what intention the language discloses, and words leaving conditions to be settled, like the solicitors’ approval there, prima facie disclose none.</w:t>
      </w:r>
      <w:r>
        <w:rPr>
          <w:rStyle w:val="FootnoteReference"/>
          <w:rFonts w:ascii="Times New Roman" w:hAnsi="Times New Roman"/>
          <w:sz w:val="24"/>
        </w:rPr>
        <w:footnoteReference w:id="26"/>
      </w:r>
    </w:p>
    <w:p>
      <w:pPr>
        <w:pStyle w:val="BodyText"/>
      </w:pPr>
      <w:r>
        <w:rPr>
          <w:rFonts w:ascii="Times New Roman" w:hAnsi="Times New Roman"/>
          <w:sz w:val="24"/>
        </w:rPr>
        <w:t xml:space="preserve">Therefore, the better view is that no contract likely formed, because the conditions were left open.</w:t>
      </w:r>
    </w:p>
    <w:bookmarkEnd w:id="27"/>
    <w:bookmarkStart w:id="32" w:name="c.-certainty"/>
    <w:p>
      <w:pPr>
        <w:pStyle w:val="Heading2"/>
      </w:pPr>
      <w:r>
        <w:rPr>
          <w:rFonts w:ascii="Times New Roman" w:hAnsi="Times New Roman"/>
        </w:rPr>
        <w:t xml:space="preserve">C. Certainty</w:t>
      </w:r>
    </w:p>
    <w:p>
      <w:pPr>
        <w:pStyle w:val="FirstParagraph"/>
      </w:pPr>
      <w:r>
        <w:rPr>
          <w:rFonts w:ascii="Times New Roman" w:hAnsi="Times New Roman"/>
          <w:sz w:val="24"/>
        </w:rPr>
        <w:t xml:space="preserve">Even if intention were found, Grace would rely on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which upheld a sale conditional on finance satisfactory to the purchaser, though Mason J left open whether the purchaser must be honest or also reasonable.</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However,</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t>
      </w:r>
      <w:r>
        <w:rPr>
          <w:rFonts w:ascii="Times New Roman" w:hAnsi="Times New Roman"/>
          <w:sz w:val="24"/>
        </w:rPr>
        <w:t xml:space="preserve">is distinguishable: its sale terms were concluded and the satisfaction had an identified object, finance to complete.</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Rocky’s conditions have no stated object and arguably govern his own lending, a discretion over performance which Gibbs CJ left within the illusory-promise rule; they leave the court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 large</w:t>
      </w:r>
      <w:r>
        <w:rPr>
          <w:rFonts w:ascii="Times New Roman" w:hAnsi="Times New Roman"/>
          <w:sz w:val="24"/>
        </w:rPr>
        <w:t xml:space="preserve">’</w:t>
      </w:r>
      <w:r>
        <w:rPr>
          <w:rFonts w:ascii="Times New Roman" w:hAnsi="Times New Roman"/>
          <w:sz w:val="24"/>
        </w:rPr>
        <w:t xml:space="preserve">, where Mason J said uncertainty would have force.</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Even on Grace’s reading, Rocky’s duty to lend awaited his honest satisfaction, which nothing shows.</w:t>
      </w:r>
      <w:r>
        <w:rPr>
          <w:rStyle w:val="FootnoteReference"/>
          <w:rFonts w:ascii="Times New Roman" w:hAnsi="Times New Roman"/>
          <w:sz w:val="24"/>
        </w:rPr>
        <w:footnoteReference w:id="31"/>
      </w:r>
    </w:p>
    <w:p>
      <w:pPr>
        <w:pStyle w:val="BodyText"/>
      </w:pPr>
      <w:r>
        <w:rPr>
          <w:rFonts w:ascii="Times New Roman" w:hAnsi="Times New Roman"/>
          <w:sz w:val="24"/>
        </w:rPr>
        <w:t xml:space="preserve">Therefore, the better view is that the promise was likely illusory or uncertain, because its conditions had no stated object.</w:t>
      </w:r>
    </w:p>
    <w:bookmarkEnd w:id="32"/>
    <w:bookmarkStart w:id="35" w:name="d.-privity"/>
    <w:p>
      <w:pPr>
        <w:pStyle w:val="Heading2"/>
      </w:pPr>
      <w:r>
        <w:rPr>
          <w:rFonts w:ascii="Times New Roman" w:hAnsi="Times New Roman"/>
        </w:rPr>
        <w:t xml:space="preserve">D. Privity</w:t>
      </w:r>
    </w:p>
    <w:p>
      <w:pPr>
        <w:pStyle w:val="FirstParagraph"/>
      </w:pPr>
      <w:r>
        <w:rPr>
          <w:rFonts w:ascii="Times New Roman" w:hAnsi="Times New Roman"/>
          <w:sz w:val="24"/>
        </w:rPr>
        <w:t xml:space="preserve">Rocky’s demand for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principal amount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succeeds only if the contract between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AMPL and Grace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contains a promise to him.</w:t>
      </w:r>
      <w:r>
        <w:rPr>
          <w:rStyle w:val="FootnoteReference"/>
          <w:rFonts w:ascii="Times New Roman" w:hAnsi="Times New Roman"/>
          <w:sz w:val="24"/>
        </w:rPr>
        <w:footnoteReference w:id="33"/>
      </w:r>
      <w:r>
        <w:rPr>
          <w:rFonts w:ascii="Times New Roman" w:hAnsi="Times New Roman"/>
          <w:sz w:val="24"/>
        </w:rPr>
        <w:t xml:space="preserve"> </w:t>
      </w:r>
      <w:r>
        <w:rPr>
          <w:rFonts w:ascii="Times New Roman" w:hAnsi="Times New Roman"/>
          <w:sz w:val="24"/>
        </w:rPr>
        <w:t xml:space="preserve">Rocky’s case is that he procured the advance and that signature is neither sufficient nor necessary,</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so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applies the wrong test. Yet Grace is right in result: Rocky’s guarantee does not make him the promisee of Grace’s repayment promise, which runs to AMPL.</w:t>
      </w:r>
    </w:p>
    <w:p>
      <w:pPr>
        <w:pStyle w:val="BodyText"/>
      </w:pPr>
      <w:r>
        <w:rPr>
          <w:rFonts w:ascii="Times New Roman" w:hAnsi="Times New Roman"/>
          <w:sz w:val="24"/>
        </w:rPr>
        <w:t xml:space="preserve">Rocky therefore has no claim against Grace.</w:t>
      </w:r>
    </w:p>
    <w:bookmarkEnd w:id="35"/>
    <w:bookmarkEnd w:id="36"/>
    <w:bookmarkStart w:id="54" w:name="ii.-rocky-v-ampl"/>
    <w:p>
      <w:pPr>
        <w:pStyle w:val="Heading1"/>
      </w:pPr>
      <w:r>
        <w:rPr>
          <w:rFonts w:ascii="Times New Roman" w:hAnsi="Times New Roman"/>
        </w:rPr>
        <w:t xml:space="preserve">II. ROCKY v AMPL</w:t>
      </w:r>
    </w:p>
    <w:bookmarkStart w:id="38" w:name="a.-agreement-1"/>
    <w:p>
      <w:pPr>
        <w:pStyle w:val="Heading2"/>
      </w:pPr>
      <w:r>
        <w:rPr>
          <w:rFonts w:ascii="Times New Roman" w:hAnsi="Times New Roman"/>
        </w:rPr>
        <w:t xml:space="preserve">A. Agreement</w:t>
      </w:r>
    </w:p>
    <w:p>
      <w:pPr>
        <w:pStyle w:val="FirstParagraph"/>
      </w:pP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answered Pierre’s request; whether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concluded a promise for a promise, and with whom, is judged objectively.</w:t>
      </w:r>
      <w:r>
        <w:rPr>
          <w:rStyle w:val="FootnoteReference"/>
          <w:rFonts w:ascii="Times New Roman" w:hAnsi="Times New Roman"/>
          <w:sz w:val="24"/>
        </w:rPr>
        <w:footnoteReference w:id="37"/>
      </w:r>
      <w:r>
        <w:rPr>
          <w:rFonts w:ascii="Times New Roman" w:hAnsi="Times New Roman"/>
          <w:sz w:val="24"/>
        </w:rPr>
        <w:t xml:space="preserve"> </w:t>
      </w:r>
      <w:r>
        <w:rPr>
          <w:rFonts w:ascii="Times New Roman" w:hAnsi="Times New Roman"/>
          <w:sz w:val="24"/>
        </w:rPr>
        <w:t xml:space="preserve">The clause then included may be the guarantee, the only clause named and so likelier, or a term recording this exchange. The strongest counter is AMPL’s: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w:t>
      </w:r>
      <w:r>
        <w:rPr>
          <w:rFonts w:ascii="Times New Roman" w:hAnsi="Times New Roman"/>
          <w:sz w:val="24"/>
        </w:rPr>
        <w:t xml:space="preserve">’</w:t>
      </w:r>
      <w:r>
        <w:rPr>
          <w:rFonts w:ascii="Times New Roman" w:hAnsi="Times New Roman"/>
          <w:sz w:val="24"/>
        </w:rPr>
        <w:t xml:space="preserve">, and on the guarantee reading AMPL’s instrument omits the $10,000. However, the bargain was oral, so that silence matters little; Pierre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owned and controlled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AMPL and, at its office, sought an undertaking protecting its loan, and AMPL had performed his 27 February agreement.</w:t>
      </w:r>
    </w:p>
    <w:p>
      <w:pPr>
        <w:pStyle w:val="BodyText"/>
      </w:pPr>
      <w:r>
        <w:rPr>
          <w:rFonts w:ascii="Times New Roman" w:hAnsi="Times New Roman"/>
          <w:sz w:val="24"/>
        </w:rPr>
        <w:t xml:space="preserve">A contract was therefore likely concluded, with AMPL as promisor, alternatively Pierre, because the undertaking Pierre sought served AMPL.</w:t>
      </w:r>
    </w:p>
    <w:bookmarkEnd w:id="38"/>
    <w:bookmarkStart w:id="40" w:name="b.-intention-to-create-legal-relations-1"/>
    <w:p>
      <w:pPr>
        <w:pStyle w:val="Heading2"/>
      </w:pPr>
      <w:r>
        <w:rPr>
          <w:rFonts w:ascii="Times New Roman" w:hAnsi="Times New Roman"/>
        </w:rPr>
        <w:t xml:space="preserve">B. Intention to create legal relations</w:t>
      </w:r>
    </w:p>
    <w:p>
      <w:pPr>
        <w:pStyle w:val="FirstParagraph"/>
      </w:pPr>
      <w:r>
        <w:rPr>
          <w:rFonts w:ascii="Times New Roman" w:hAnsi="Times New Roman"/>
          <w:sz w:val="24"/>
        </w:rPr>
        <w:t xml:space="preserve">Intention is tested objectively, and a family presumption does no more than identify who bears the onus.</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Pierre, if he promised personally, might call the $10,000 a favour to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cousin</w:t>
      </w:r>
      <w:r>
        <w:rPr>
          <w:rFonts w:ascii="Times New Roman" w:hAnsi="Times New Roman"/>
          <w:sz w:val="24"/>
        </w:rPr>
        <w:t xml:space="preserve">’</w:t>
      </w:r>
      <w:r>
        <w:rPr>
          <w:rFonts w:ascii="Times New Roman" w:hAnsi="Times New Roman"/>
          <w:sz w:val="24"/>
        </w:rPr>
        <w:t xml:space="preserve">; yet Rocky bargained for it at a loan signing in AMPL’s office.</w:t>
      </w:r>
    </w:p>
    <w:p>
      <w:pPr>
        <w:pStyle w:val="BodyText"/>
      </w:pPr>
      <w:r>
        <w:rPr>
          <w:rFonts w:ascii="Times New Roman" w:hAnsi="Times New Roman"/>
          <w:sz w:val="24"/>
        </w:rPr>
        <w:t xml:space="preserve">Intention is therefore likely, because the bargain was commercial.</w:t>
      </w:r>
    </w:p>
    <w:bookmarkEnd w:id="40"/>
    <w:bookmarkStart w:id="43" w:name="c.-certainty-1"/>
    <w:p>
      <w:pPr>
        <w:pStyle w:val="Heading2"/>
      </w:pPr>
      <w:r>
        <w:rPr>
          <w:rFonts w:ascii="Times New Roman" w:hAnsi="Times New Roman"/>
        </w:rPr>
        <w:t xml:space="preserve">C. Certainty</w:t>
      </w:r>
    </w:p>
    <w:p>
      <w:pPr>
        <w:pStyle w:val="FirstParagraph"/>
      </w:pPr>
      <w:r>
        <w:rPr>
          <w:rFonts w:ascii="Times New Roman" w:hAnsi="Times New Roman"/>
          <w:sz w:val="24"/>
        </w:rPr>
        <w:t xml:space="preserve">Both promises are certain if each bears a definite meaning:</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the Loan Agreement fixes what Rocky must ensure, like the promise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debtor could repay that</w:t>
      </w:r>
      <w:r>
        <w:rPr>
          <w:rFonts w:ascii="Times New Roman" w:hAnsi="Times New Roman"/>
          <w:sz w:val="24"/>
        </w:rPr>
        <w:t xml:space="preserve"> </w:t>
      </w:r>
      <w:r>
        <w:rPr>
          <w:iCs/>
          <w:rFonts w:ascii="Times New Roman" w:hAnsi="Times New Roman"/>
          <w:i/>
          <w:sz w:val="24"/>
        </w:rPr>
        <w:t xml:space="preserve">Banque Brussels</w:t>
      </w:r>
      <w:r>
        <w:rPr>
          <w:rFonts w:ascii="Times New Roman" w:hAnsi="Times New Roman"/>
          <w:sz w:val="24"/>
        </w:rPr>
        <w:t xml:space="preserve"> </w:t>
      </w:r>
      <w:r>
        <w:rPr>
          <w:rFonts w:ascii="Times New Roman" w:hAnsi="Times New Roman"/>
          <w:sz w:val="24"/>
        </w:rPr>
        <w:t xml:space="preserve">held enforceable at first instance,</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and the $10,000 term fixes amount, payee and time.</w:t>
      </w:r>
    </w:p>
    <w:p>
      <w:pPr>
        <w:pStyle w:val="BodyText"/>
      </w:pPr>
      <w:r>
        <w:rPr>
          <w:rFonts w:ascii="Times New Roman" w:hAnsi="Times New Roman"/>
          <w:sz w:val="24"/>
        </w:rPr>
        <w:t xml:space="preserve">Both promises are accordingly certain.</w:t>
      </w:r>
    </w:p>
    <w:bookmarkEnd w:id="43"/>
    <w:bookmarkStart w:id="48" w:name="d.-consideration"/>
    <w:p>
      <w:pPr>
        <w:pStyle w:val="Heading2"/>
      </w:pPr>
      <w:r>
        <w:rPr>
          <w:rFonts w:ascii="Times New Roman" w:hAnsi="Times New Roman"/>
        </w:rPr>
        <w:t xml:space="preserve">D. Consideration</w:t>
      </w:r>
    </w:p>
    <w:p>
      <w:pPr>
        <w:pStyle w:val="FirstParagraph"/>
      </w:pPr>
      <w:r>
        <w:rPr>
          <w:rFonts w:ascii="Times New Roman" w:hAnsi="Times New Roman"/>
          <w:sz w:val="24"/>
        </w:rPr>
        <w:t xml:space="preserve">Even if the guarantee binds Rocky, his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promise faces the existing duty rule: a promise to perform an existing duty is no consideration, at least when made by a contracting party to its promisee to do no more than the contract requires.</w:t>
      </w:r>
      <w:r>
        <w:rPr>
          <w:rStyle w:val="FootnoteReference"/>
          <w:rFonts w:ascii="Times New Roman" w:hAnsi="Times New Roman"/>
          <w:sz w:val="24"/>
        </w:rPr>
        <w:footnoteReference w:id="44"/>
      </w:r>
      <w:r>
        <w:rPr>
          <w:rFonts w:ascii="Times New Roman" w:hAnsi="Times New Roman"/>
          <w:sz w:val="24"/>
        </w:rPr>
        <w:t xml:space="preserve"> </w:t>
      </w:r>
      <w:r>
        <w:rPr>
          <w:rFonts w:ascii="Times New Roman" w:hAnsi="Times New Roman"/>
          <w:sz w:val="24"/>
        </w:rPr>
        <w:t xml:space="preserve">On the guarantee reading, the rule does not arise: the guarantee was itself Rocky’s undertaking for the $10,000. On the exchange reading, AMPL’s strongest counter is that Rocky, already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added nothing, like the seller’s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promise in</w:t>
      </w:r>
      <w:r>
        <w:rPr>
          <w:rFonts w:ascii="Times New Roman" w:hAnsi="Times New Roman"/>
          <w:sz w:val="24"/>
        </w:rPr>
        <w:t xml:space="preserve"> </w:t>
      </w:r>
      <w:r>
        <w:rPr>
          <w:iCs/>
          <w:rFonts w:ascii="Times New Roman" w:hAnsi="Times New Roman"/>
          <w:i/>
          <w:sz w:val="24"/>
        </w:rPr>
        <w:t xml:space="preserve">Sundell</w:t>
      </w:r>
      <w:r>
        <w:rPr>
          <w:rFonts w:ascii="Times New Roman" w:hAnsi="Times New Roman"/>
          <w:sz w:val="24"/>
        </w:rPr>
        <w:t xml:space="preserve">.</w:t>
      </w:r>
      <w:r>
        <w:rPr>
          <w:rStyle w:val="FootnoteReference"/>
          <w:rFonts w:ascii="Times New Roman" w:hAnsi="Times New Roman"/>
          <w:sz w:val="24"/>
        </w:rPr>
        <w:footnoteReference w:id="45"/>
      </w:r>
    </w:p>
    <w:p>
      <w:pPr>
        <w:pStyle w:val="BodyText"/>
      </w:pPr>
      <w:r>
        <w:rPr>
          <w:rFonts w:ascii="Times New Roman" w:hAnsi="Times New Roman"/>
          <w:sz w:val="24"/>
        </w:rPr>
        <w:t xml:space="preserve">Firstly, however, Pierre agreed before AMPL accepted the guarantee, arguably by signing, so no guarantee duty yet bound Rocky. Secondly, Rocky’s promise covers monthly interest and prompt payment, whereas the guarantee arguably secures only the principal;</w:t>
      </w:r>
      <w:r>
        <w:rPr>
          <w:rFonts w:ascii="Times New Roman" w:hAnsi="Times New Roman"/>
          <w:sz w:val="24"/>
        </w:rPr>
        <w:t xml:space="preserve"> </w:t>
      </w:r>
      <w:r>
        <w:rPr>
          <w:iCs/>
          <w:rFonts w:ascii="Times New Roman" w:hAnsi="Times New Roman"/>
          <w:i/>
          <w:sz w:val="24"/>
        </w:rPr>
        <w:t xml:space="preserve">Sundell</w:t>
      </w:r>
      <w:r>
        <w:rPr>
          <w:rFonts w:ascii="Times New Roman" w:hAnsi="Times New Roman"/>
          <w:sz w:val="24"/>
        </w:rPr>
        <w:t xml:space="preserve"> </w:t>
      </w:r>
      <w:r>
        <w:rPr>
          <w:rFonts w:ascii="Times New Roman" w:hAnsi="Times New Roman"/>
          <w:sz w:val="24"/>
        </w:rPr>
        <w:t xml:space="preserve">is distinguishable: there the new promise was identical with the old. Thirdly, if Pierre promised personally, any guarantee duty was owed to a third party, AMPL; a promise to perform it can be consideration, as Glidewell LJ, in the English Court of Appeal, read the Privy Council’s</w:t>
      </w:r>
      <w:r>
        <w:rPr>
          <w:rFonts w:ascii="Times New Roman" w:hAnsi="Times New Roman"/>
          <w:sz w:val="24"/>
        </w:rPr>
        <w:t xml:space="preserve"> </w:t>
      </w:r>
      <w:r>
        <w:rPr>
          <w:iCs/>
          <w:rFonts w:ascii="Times New Roman" w:hAnsi="Times New Roman"/>
          <w:i/>
          <w:sz w:val="24"/>
        </w:rPr>
        <w:t xml:space="preserve">Pao On</w:t>
      </w:r>
      <w:r>
        <w:rPr>
          <w:rFonts w:ascii="Times New Roman" w:hAnsi="Times New Roman"/>
          <w:sz w:val="24"/>
        </w:rPr>
        <w:t xml:space="preserve">.</w:t>
      </w:r>
      <w:r>
        <w:rPr>
          <w:rStyle w:val="FootnoteReference"/>
          <w:rFonts w:ascii="Times New Roman" w:hAnsi="Times New Roman"/>
          <w:sz w:val="24"/>
        </w:rPr>
        <w:footnoteReference w:id="46"/>
      </w:r>
      <w:r>
        <w:rPr>
          <w:rFonts w:ascii="Times New Roman" w:hAnsi="Times New Roman"/>
          <w:sz w:val="24"/>
        </w:rPr>
        <w:t xml:space="preserve"> </w:t>
      </w:r>
      <w:r>
        <w:rPr>
          <w:rFonts w:ascii="Times New Roman" w:hAnsi="Times New Roman"/>
          <w:sz w:val="24"/>
        </w:rPr>
        <w:t xml:space="preserve">Nor does practical benefit assist: Rocky contracted to supply no work, goods or services.</w:t>
      </w:r>
      <w:r>
        <w:rPr>
          <w:rStyle w:val="FootnoteReference"/>
          <w:rFonts w:ascii="Times New Roman" w:hAnsi="Times New Roman"/>
          <w:sz w:val="24"/>
        </w:rPr>
        <w:footnoteReference w:id="47"/>
      </w:r>
    </w:p>
    <w:p>
      <w:pPr>
        <w:pStyle w:val="BodyText"/>
      </w:pPr>
      <w:r>
        <w:rPr>
          <w:rFonts w:ascii="Times New Roman" w:hAnsi="Times New Roman"/>
          <w:sz w:val="24"/>
        </w:rPr>
        <w:t xml:space="preserve">On balance, a court would likely find Rocky’s promise good consideration, because the undertakings differ and arguably no guarantee duty yet bound him.</w:t>
      </w:r>
    </w:p>
    <w:bookmarkEnd w:id="48"/>
    <w:bookmarkStart w:id="51" w:name="e.-privity"/>
    <w:p>
      <w:pPr>
        <w:pStyle w:val="Heading2"/>
      </w:pPr>
      <w:r>
        <w:rPr>
          <w:rFonts w:ascii="Times New Roman" w:hAnsi="Times New Roman"/>
        </w:rPr>
        <w:t xml:space="preserve">E. Privity</w:t>
      </w:r>
    </w:p>
    <w:p>
      <w:pPr>
        <w:pStyle w:val="FirstParagraph"/>
      </w:pPr>
      <w:r>
        <w:rPr>
          <w:rFonts w:ascii="Times New Roman" w:hAnsi="Times New Roman"/>
          <w:sz w:val="24"/>
        </w:rPr>
        <w:t xml:space="preserve">Rocky’s right to the $10,000 turns on whether a promise was made to him, not his signature.</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On the exchange reading, AMPL may liken Rocky, a payee named in another’s contract, to Mrs Coulls; yet</w:t>
      </w:r>
      <w:r>
        <w:rPr>
          <w:rFonts w:ascii="Times New Roman" w:hAnsi="Times New Roman"/>
          <w:sz w:val="24"/>
        </w:rPr>
        <w:t xml:space="preserve"> </w:t>
      </w:r>
      <w:r>
        <w:rPr>
          <w:iCs/>
          <w:rFonts w:ascii="Times New Roman" w:hAnsi="Times New Roman"/>
          <w:i/>
          <w:sz w:val="24"/>
        </w:rPr>
        <w:t xml:space="preserve">Coulls</w:t>
      </w:r>
      <w:r>
        <w:rPr>
          <w:rFonts w:ascii="Times New Roman" w:hAnsi="Times New Roman"/>
          <w:sz w:val="24"/>
        </w:rPr>
        <w:t xml:space="preserve"> </w:t>
      </w:r>
      <w:r>
        <w:rPr>
          <w:rFonts w:ascii="Times New Roman" w:hAnsi="Times New Roman"/>
          <w:sz w:val="24"/>
        </w:rPr>
        <w:t xml:space="preserve">is distinguishable: it turned on there being no promise to her,</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whereas Pierre accepted Rocky’s terms for payment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to me directly</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Rocky is therefore likely the promisee, because Pierre accepted Rocky’s own offer.</w:t>
      </w:r>
    </w:p>
    <w:bookmarkEnd w:id="51"/>
    <w:bookmarkStart w:id="53" w:name="f.-terms-of-payment"/>
    <w:p>
      <w:pPr>
        <w:pStyle w:val="Heading2"/>
      </w:pPr>
      <w:r>
        <w:rPr>
          <w:rFonts w:ascii="Times New Roman" w:hAnsi="Times New Roman"/>
        </w:rPr>
        <w:t xml:space="preserve">F. Terms of payment</w:t>
      </w:r>
    </w:p>
    <w:p>
      <w:pPr>
        <w:pStyle w:val="FirstParagraph"/>
      </w:pPr>
      <w:r>
        <w:rPr>
          <w:rFonts w:ascii="Times New Roman" w:hAnsi="Times New Roman"/>
          <w:sz w:val="24"/>
        </w:rPr>
        <w:t xml:space="preserve">The $10,000 is payable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a condition to be fulfilled first;</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on 9 March 2025</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Grace had not yet repaid</w:t>
      </w:r>
      <w:r>
        <w:rPr>
          <w:rFonts w:ascii="Times New Roman" w:hAnsi="Times New Roman"/>
          <w:sz w:val="24"/>
        </w:rPr>
        <w:t xml:space="preserve">’</w:t>
      </w:r>
      <w:r>
        <w:rPr>
          <w:rFonts w:ascii="Times New Roman" w:hAnsi="Times New Roman"/>
          <w:sz w:val="24"/>
        </w:rPr>
        <w:t xml:space="preserve">, and payment by Rocky would not be Grace’s repayment.</w:t>
      </w:r>
    </w:p>
    <w:p>
      <w:pPr>
        <w:pStyle w:val="BodyText"/>
      </w:pPr>
      <w:r>
        <w:rPr>
          <w:rFonts w:ascii="Times New Roman" w:hAnsi="Times New Roman"/>
          <w:sz w:val="24"/>
        </w:rPr>
        <w:t xml:space="preserve">AMPL, alternatively Pierre, accordingly likely owes Rocky $10,000, but only once Grace repays.</w:t>
      </w:r>
    </w:p>
    <w:bookmarkEnd w:id="53"/>
    <w:bookmarkEnd w:id="54"/>
    <w:bookmarkStart w:id="66" w:name="iii.-ampl-v-rocky"/>
    <w:p>
      <w:pPr>
        <w:pStyle w:val="Heading1"/>
      </w:pPr>
      <w:r>
        <w:rPr>
          <w:rFonts w:ascii="Times New Roman" w:hAnsi="Times New Roman"/>
        </w:rPr>
        <w:t xml:space="preserve">III. AMPL v ROCKY</w:t>
      </w:r>
    </w:p>
    <w:bookmarkStart w:id="56" w:name="a.-agreement-2"/>
    <w:p>
      <w:pPr>
        <w:pStyle w:val="Heading2"/>
      </w:pPr>
      <w:r>
        <w:rPr>
          <w:rFonts w:ascii="Times New Roman" w:hAnsi="Times New Roman"/>
        </w:rPr>
        <w:t xml:space="preserve">A. Agreement</w:t>
      </w:r>
    </w:p>
    <w:p>
      <w:pPr>
        <w:pStyle w:val="FirstParagraph"/>
      </w:pPr>
      <w:r>
        <w:rPr>
          <w:rFonts w:ascii="Times New Roman" w:hAnsi="Times New Roman"/>
          <w:sz w:val="24"/>
        </w:rPr>
        <w:t xml:space="preserve">Whether Rocky is bound turns on his promise, not his signature:</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personally guaranteed repayment of the Loan</w:t>
      </w:r>
      <w:r>
        <w:rPr>
          <w:rFonts w:ascii="Times New Roman" w:hAnsi="Times New Roman"/>
          <w:sz w:val="24"/>
        </w:rPr>
        <w:t xml:space="preserve">’</w:t>
      </w:r>
      <w:r>
        <w:rPr>
          <w:rFonts w:ascii="Times New Roman" w:hAnsi="Times New Roman"/>
          <w:sz w:val="24"/>
        </w:rPr>
        <w:t xml:space="preserve">, and AMPL called 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personal guarantee provided by Rocky</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Rocky therefore promised AMPL as guarantor.</w:t>
      </w:r>
    </w:p>
    <w:bookmarkEnd w:id="56"/>
    <w:bookmarkStart w:id="63" w:name="b.-consideration"/>
    <w:p>
      <w:pPr>
        <w:pStyle w:val="Heading2"/>
      </w:pPr>
      <w:r>
        <w:rPr>
          <w:rFonts w:ascii="Times New Roman" w:hAnsi="Times New Roman"/>
        </w:rPr>
        <w:t xml:space="preserve">B. Consideration</w:t>
      </w:r>
    </w:p>
    <w:p>
      <w:pPr>
        <w:pStyle w:val="FirstParagraph"/>
      </w:pPr>
      <w:r>
        <w:rPr>
          <w:rFonts w:ascii="Times New Roman" w:hAnsi="Times New Roman"/>
          <w:sz w:val="24"/>
        </w:rPr>
        <w:t xml:space="preserve">Rocky’s 8 April guarantee came after AMPL’s 27 February advance, and past consideration supports only a promise the law would imply.</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The Privy Council in</w:t>
      </w:r>
      <w:r>
        <w:rPr>
          <w:rFonts w:ascii="Times New Roman" w:hAnsi="Times New Roman"/>
          <w:sz w:val="24"/>
        </w:rPr>
        <w:t xml:space="preserve"> </w:t>
      </w:r>
      <w:r>
        <w:rPr>
          <w:iCs/>
          <w:rFonts w:ascii="Times New Roman" w:hAnsi="Times New Roman"/>
          <w:i/>
          <w:sz w:val="24"/>
        </w:rPr>
        <w:t xml:space="preserve">Pao On</w:t>
      </w:r>
      <w:r>
        <w:rPr>
          <w:rFonts w:ascii="Times New Roman" w:hAnsi="Times New Roman"/>
          <w:sz w:val="24"/>
        </w:rPr>
        <w:t xml:space="preserve"> </w:t>
      </w:r>
      <w:r>
        <w:rPr>
          <w:rFonts w:ascii="Times New Roman" w:hAnsi="Times New Roman"/>
          <w:sz w:val="24"/>
        </w:rPr>
        <w:t xml:space="preserve">excepted a requested act understood to be remunerated by a benefit enforceable if promised in advance; AMPL advanced the money after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Rocky asked</w:t>
      </w:r>
      <w:r>
        <w:rPr>
          <w:rFonts w:ascii="Times New Roman" w:hAnsi="Times New Roman"/>
          <w:sz w:val="24"/>
        </w:rPr>
        <w:t xml:space="preserve">’</w:t>
      </w:r>
      <w:r>
        <w:rPr>
          <w:rFonts w:ascii="Times New Roman" w:hAnsi="Times New Roman"/>
          <w:sz w:val="24"/>
        </w:rPr>
        <w:t xml:space="preserve">, and a guarantee would have been enforceable if promised then.</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However, a request alone makes no contract,</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and nothing shows a guarantee was understood as the advance’s price.</w:t>
      </w:r>
    </w:p>
    <w:p>
      <w:pPr>
        <w:pStyle w:val="BodyText"/>
      </w:pPr>
      <w:r>
        <w:rPr>
          <w:rFonts w:ascii="Times New Roman" w:hAnsi="Times New Roman"/>
          <w:sz w:val="24"/>
        </w:rPr>
        <w:t xml:space="preserve">AMPL’s stronger case is fresh consideration: on 8 April it bound itself to Grace for 12 months at 4%, a detriment.</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Rocky may answer that the instrument merely recorded a 27 February loan; yet no terms for the advance are stated, so the instrument likely created the period. AMPL’s commitment was also the price of Rocky’s promise: the guarantee and credit were settled in one instrument, at a meeting he attended, arguably at his implied request.</w:t>
      </w:r>
      <w:r>
        <w:rPr>
          <w:rStyle w:val="FootnoteReference"/>
          <w:rFonts w:ascii="Times New Roman" w:hAnsi="Times New Roman"/>
          <w:sz w:val="24"/>
        </w:rPr>
        <w:footnoteReference w:id="61"/>
      </w:r>
      <w:r>
        <w:rPr>
          <w:rFonts w:ascii="Times New Roman" w:hAnsi="Times New Roman"/>
          <w:sz w:val="24"/>
        </w:rPr>
        <w:t xml:space="preserve"> </w:t>
      </w:r>
      <w:r>
        <w:rPr>
          <w:rFonts w:ascii="Times New Roman" w:hAnsi="Times New Roman"/>
          <w:sz w:val="24"/>
        </w:rPr>
        <w:t xml:space="preserve">On the guarantee reading, AMPL’s $10,000 promise was also the guarantee’s price, if AMPL, not Pierre, promised, since consideration must move from the promisee.</w:t>
      </w:r>
      <w:r>
        <w:rPr>
          <w:rStyle w:val="FootnoteReference"/>
          <w:rFonts w:ascii="Times New Roman" w:hAnsi="Times New Roman"/>
          <w:sz w:val="24"/>
        </w:rPr>
        <w:footnoteReference w:id="62"/>
      </w:r>
    </w:p>
    <w:p>
      <w:pPr>
        <w:pStyle w:val="BodyText"/>
      </w:pPr>
      <w:r>
        <w:rPr>
          <w:rFonts w:ascii="Times New Roman" w:hAnsi="Times New Roman"/>
          <w:sz w:val="24"/>
        </w:rPr>
        <w:t xml:space="preserve">On balance, a court would likely find the guarantee binding, because AMPL’s 8 April commitment was its price, though the 27 February terms are unknown.</w:t>
      </w:r>
    </w:p>
    <w:bookmarkEnd w:id="63"/>
    <w:bookmarkStart w:id="65" w:name="c.-construction-of-the-repayment-term"/>
    <w:p>
      <w:pPr>
        <w:pStyle w:val="Heading2"/>
      </w:pPr>
      <w:r>
        <w:rPr>
          <w:rFonts w:ascii="Times New Roman" w:hAnsi="Times New Roman"/>
        </w:rPr>
        <w:t xml:space="preserve">C. Construction of the repayment term</w:t>
      </w:r>
    </w:p>
    <w:p>
      <w:pPr>
        <w:pStyle w:val="FirstParagraph"/>
      </w:pPr>
      <w:r>
        <w:rPr>
          <w:rFonts w:ascii="Times New Roman" w:hAnsi="Times New Roman"/>
          <w:sz w:val="24"/>
        </w:rPr>
        <w:t xml:space="preserve">The Loan was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repayable at the expiry of 12 months</w:t>
      </w:r>
      <w:r>
        <w:rPr>
          <w:rFonts w:ascii="Times New Roman" w:hAnsi="Times New Roman"/>
          <w:sz w:val="24"/>
        </w:rPr>
        <w:t xml:space="preserve">’</w:t>
      </w:r>
      <w:r>
        <w:rPr>
          <w:rFonts w:ascii="Times New Roman" w:hAnsi="Times New Roman"/>
          <w:sz w:val="24"/>
        </w:rPr>
        <w:t xml:space="preserve">, with no stated start, so whether it fell due on 27 February or 8 April 2025 is ambiguous. Pre-contractual conduct showing the genesis is admissible, but later conduct and subjective beliefs are not;</w:t>
      </w:r>
      <w:r>
        <w:rPr>
          <w:rStyle w:val="FootnoteReference"/>
          <w:rFonts w:ascii="Times New Roman" w:hAnsi="Times New Roman"/>
          <w:sz w:val="24"/>
        </w:rPr>
        <w:footnoteReference w:id="64"/>
      </w:r>
      <w:r>
        <w:rPr>
          <w:rFonts w:ascii="Times New Roman" w:hAnsi="Times New Roman"/>
          <w:sz w:val="24"/>
        </w:rPr>
        <w:t xml:space="preserve"> </w:t>
      </w:r>
      <w:r>
        <w:rPr>
          <w:rFonts w:ascii="Times New Roman" w:hAnsi="Times New Roman"/>
          <w:sz w:val="24"/>
        </w:rPr>
        <w:t xml:space="preserve">Rocky’s emails, the interest payments and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have until 8 April 2025</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therefore cannot fix the meaning.</w:t>
      </w:r>
    </w:p>
    <w:p>
      <w:pPr>
        <w:pStyle w:val="BodyText"/>
      </w:pPr>
      <w:r>
        <w:rPr>
          <w:rFonts w:ascii="Times New Roman" w:hAnsi="Times New Roman"/>
          <w:sz w:val="24"/>
        </w:rPr>
        <w:t xml:space="preserve">The strongest counter is AMPL’s: the instrument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money advanced on 27 February, so the period runs from then; yet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may fix only which money is lent, not when the period began. Decisively, the period is likely a term the 8 April instrument created, and absent words tying it to the advance, it runs from the instrument.</w:t>
      </w:r>
    </w:p>
    <w:p>
      <w:pPr>
        <w:pStyle w:val="BodyText"/>
      </w:pPr>
      <w:r>
        <w:rPr>
          <w:rFonts w:ascii="Times New Roman" w:hAnsi="Times New Roman"/>
          <w:sz w:val="24"/>
        </w:rPr>
        <w:t xml:space="preserve">Therefore, the better view is that the Loan likely fell due on 8 April 2025, though the admissible advance date keeps it finely balanced.</w:t>
      </w:r>
    </w:p>
    <w:p>
      <w:pPr>
        <w:pStyle w:val="BodyText"/>
      </w:pPr>
      <w:r>
        <w:rPr>
          <w:rFonts w:ascii="Times New Roman" w:hAnsi="Times New Roman"/>
          <w:sz w:val="24"/>
        </w:rPr>
        <w:t xml:space="preserve">Further information is needed on whether the guarantee is payable on demand: if so, Rocky must pay now, but if not, he is liable only on Grace’s default, so on the 8 April view the call was premature. On the 27 February view, Rocky must pay $1,150,000 if the guarantee is supported, and has broken his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promise regardless. On the 8 April view, that promise is broken only if Grace missed the March 2025 interest or fails to repay by then.</w:t>
      </w:r>
    </w:p>
    <w:p>
      <w:pPr>
        <w:pStyle w:val="BodyText"/>
      </w:pPr>
      <w:r>
        <w:rPr>
          <w:rFonts w:ascii="Times New Roman" w:hAnsi="Times New Roman"/>
          <w:sz w:val="24"/>
        </w:rPr>
        <w:t xml:space="preserve">Rocky therefore likely need not pay AMPL now, because the call was premature.</w:t>
      </w:r>
    </w:p>
    <w:bookmarkEnd w:id="65"/>
    <w:bookmarkEnd w:id="66"/>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297–8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298 (Lord Diplock).</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HCA 8; (2002) 209 CLR 95, [25]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362–3 (</w:t>
      </w:r>
      <w:r>
        <w:rPr>
          <w:rFonts w:ascii="Times New Roman" w:hAnsi="Times New Roman" w:cs="Times New Roman"/>
        </w:rPr>
        <w:t xml:space="preserve">‘</w:t>
      </w:r>
      <w:r>
        <w:rPr>
          <w:iCs/>
          <w:i/>
          <w:rFonts w:ascii="Times New Roman" w:hAnsi="Times New Roman" w:cs="Times New Roman"/>
        </w:rPr>
        <w:t xml:space="preserve">Masters</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Tasman Capital Pty Ltd v Sinclair</w:t>
      </w:r>
      <w:r>
        <w:rPr>
          <w:rFonts w:ascii="Times New Roman" w:hAnsi="Times New Roman" w:cs="Times New Roman"/>
        </w:rPr>
        <w:t xml:space="preserve"> </w:t>
      </w:r>
      <w:r>
        <w:rPr>
          <w:rFonts w:ascii="Times New Roman" w:hAnsi="Times New Roman" w:cs="Times New Roman"/>
        </w:rPr>
        <w:t xml:space="preserve">[2008] NSWCA 248; (2008) 75 NSWLR 1, [26] (Giles JA) (</w:t>
      </w:r>
      <w:r>
        <w:rPr>
          <w:rFonts w:ascii="Times New Roman" w:hAnsi="Times New Roman" w:cs="Times New Roman"/>
        </w:rPr>
        <w:t xml:space="preserve">‘</w:t>
      </w:r>
      <w:r>
        <w:rPr>
          <w:iCs/>
          <w:i/>
          <w:rFonts w:ascii="Times New Roman" w:hAnsi="Times New Roman" w:cs="Times New Roman"/>
        </w:rPr>
        <w:t xml:space="preserve">Tasman</w:t>
      </w:r>
      <w:r>
        <w:rPr>
          <w:rFonts w:ascii="Times New Roman" w:hAnsi="Times New Roman" w:cs="Times New Roman"/>
        </w:rPr>
        <w:t xml:space="preserve">’</w:t>
      </w:r>
      <w:r>
        <w:rPr>
          <w:rFonts w:ascii="Times New Roman" w:hAnsi="Times New Roman" w:cs="Times New Roman"/>
        </w:rPr>
        <w:t xml:space="preserve">).</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w:t>
      </w:r>
      <w:r>
        <w:rPr>
          <w:rFonts w:ascii="Times New Roman" w:hAnsi="Times New Roman" w:cs="Times New Roman"/>
        </w:rPr>
        <w:t xml:space="preserve"> </w:t>
      </w:r>
      <w:r>
        <w:rPr>
          <w:rFonts w:ascii="Times New Roman" w:hAnsi="Times New Roman" w:cs="Times New Roman"/>
        </w:rPr>
        <w:t xml:space="preserve">(n 4) 361–4.</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580–2 (Gibbs CJ), 588, 590–2 (Mason 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582 (Gibbs CJ), 587–8 (Mason J).</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581 (Gibbs CJ), 587 (Mason J).</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581–2 (Gibbs CJ), 588 (Mason J).</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486 (Taylor and Owen JJ)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535–6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3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297 (Lord Diplock);</w:t>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3) [24]–[25] (Gaudron, McHugh, Hayne and Callinan JJ).</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3) [25]–[26] (Gaudron, McHugh, Hayne and Callinan JJ).</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436–7 (Barwick CJ).</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525–6 (Rogers CJ Comm D) (</w:t>
      </w:r>
      <w:r>
        <w:rPr>
          <w:rFonts w:ascii="Times New Roman" w:hAnsi="Times New Roman" w:cs="Times New Roman"/>
        </w:rPr>
        <w:t xml:space="preserve">‘</w:t>
      </w:r>
      <w:r>
        <w:rPr>
          <w:iCs/>
          <w:i/>
          <w:rFonts w:ascii="Times New Roman" w:hAnsi="Times New Roman" w:cs="Times New Roman"/>
        </w:rPr>
        <w:t xml:space="preserve">Banque Brussels</w:t>
      </w:r>
      <w:r>
        <w:rPr>
          <w:rFonts w:ascii="Times New Roman" w:hAnsi="Times New Roman" w:cs="Times New Roman"/>
        </w:rPr>
        <w:t xml:space="preserve">’</w:t>
      </w:r>
      <w:r>
        <w:rPr>
          <w:rFonts w:ascii="Times New Roman" w:hAnsi="Times New Roman" w:cs="Times New Roman"/>
        </w:rPr>
        <w:t xml:space="preserve">).</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 (</w:t>
      </w:r>
      <w:r>
        <w:rPr>
          <w:rFonts w:ascii="Times New Roman" w:hAnsi="Times New Roman" w:cs="Times New Roman"/>
        </w:rPr>
        <w:t xml:space="preserve">‘</w:t>
      </w:r>
      <w:r>
        <w:rPr>
          <w:iCs/>
          <w:i/>
          <w:rFonts w:ascii="Times New Roman" w:hAnsi="Times New Roman" w:cs="Times New Roman"/>
        </w:rPr>
        <w:t xml:space="preserve">Sundell</w:t>
      </w:r>
      <w:r>
        <w:rPr>
          <w:rFonts w:ascii="Times New Roman" w:hAnsi="Times New Roman" w:cs="Times New Roman"/>
        </w:rPr>
        <w:t xml:space="preserve">’</w:t>
      </w:r>
      <w:r>
        <w:rPr>
          <w:rFonts w:ascii="Times New Roman" w:hAnsi="Times New Roman" w:cs="Times New Roman"/>
        </w:rPr>
        <w:t xml:space="preserve">).</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Williams v Roffey Bros &amp; Nicholls (Contractors) Ltd</w:t>
      </w:r>
      <w:r>
        <w:rPr>
          <w:rFonts w:ascii="Times New Roman" w:hAnsi="Times New Roman" w:cs="Times New Roman"/>
        </w:rPr>
        <w:t xml:space="preserve"> </w:t>
      </w:r>
      <w:r>
        <w:rPr>
          <w:rFonts w:ascii="Times New Roman" w:hAnsi="Times New Roman" w:cs="Times New Roman"/>
        </w:rPr>
        <w:t xml:space="preserve">[1991] 1 QB 1, 15 (Glidewell LJ) (</w:t>
      </w:r>
      <w:r>
        <w:rPr>
          <w:rFonts w:ascii="Times New Roman" w:hAnsi="Times New Roman" w:cs="Times New Roman"/>
        </w:rPr>
        <w:t xml:space="preserve">‘</w:t>
      </w:r>
      <w:r>
        <w:rPr>
          <w:iCs/>
          <w:i/>
          <w:rFonts w:ascii="Times New Roman" w:hAnsi="Times New Roman" w:cs="Times New Roman"/>
        </w:rPr>
        <w:t xml:space="preserve">Williams v Roffey</w:t>
      </w:r>
      <w:r>
        <w:rPr>
          <w:rFonts w:ascii="Times New Roman" w:hAnsi="Times New Roman" w:cs="Times New Roman"/>
        </w:rPr>
        <w:t xml:space="preserve">’</w:t>
      </w:r>
      <w:r>
        <w:rPr>
          <w:rFonts w:ascii="Times New Roman" w:hAnsi="Times New Roman" w:cs="Times New Roman"/>
        </w:rPr>
        <w:t xml:space="preserve">), citing</w:t>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w:t>
      </w:r>
      <w:r>
        <w:rPr>
          <w:rFonts w:ascii="Times New Roman" w:hAnsi="Times New Roman" w:cs="Times New Roman"/>
        </w:rPr>
        <w:t xml:space="preserve">‘</w:t>
      </w:r>
      <w:r>
        <w:rPr>
          <w:iCs/>
          <w:i/>
          <w:rFonts w:ascii="Times New Roman" w:hAnsi="Times New Roman" w:cs="Times New Roman"/>
        </w:rPr>
        <w:t xml:space="preserve">Pao On</w:t>
      </w:r>
      <w:r>
        <w:rPr>
          <w:rFonts w:ascii="Times New Roman" w:hAnsi="Times New Roman" w:cs="Times New Roman"/>
        </w:rPr>
        <w:t xml:space="preserve">’</w:t>
      </w:r>
      <w:r>
        <w:rPr>
          <w:rFonts w:ascii="Times New Roman" w:hAnsi="Times New Roman" w:cs="Times New Roman"/>
        </w:rPr>
        <w:t xml:space="preserve">).</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Williams v Roffey</w:t>
      </w:r>
      <w:r>
        <w:rPr>
          <w:rFonts w:ascii="Times New Roman" w:hAnsi="Times New Roman" w:cs="Times New Roman"/>
        </w:rPr>
        <w:t xml:space="preserve"> </w:t>
      </w:r>
      <w:r>
        <w:rPr>
          <w:rFonts w:ascii="Times New Roman" w:hAnsi="Times New Roman" w:cs="Times New Roman"/>
        </w:rPr>
        <w:t xml:space="preserve">(n 19) 15–16 (Glidewell LJ).</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11) 486–7 (Taylor and Owen JJ).</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7) 582 (Gibbs CJ).</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11) 487 (Taylor and Owen JJ);</w:t>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12) 535–6 (McHugh JA).</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w:t>
      </w:r>
      <w:r>
        <w:rPr>
          <w:rFonts w:ascii="Times New Roman" w:hAnsi="Times New Roman" w:cs="Times New Roman"/>
        </w:rPr>
        <w:t xml:space="preserve"> </w:t>
      </w:r>
      <w:r>
        <w:rPr>
          <w:rFonts w:ascii="Times New Roman" w:hAnsi="Times New Roman" w:cs="Times New Roman"/>
        </w:rPr>
        <w:t xml:space="preserve">(n 19).</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(1955) 93 CLR 546, 550.</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Beaton v McDivitt</w:t>
      </w:r>
      <w:r>
        <w:rPr>
          <w:rFonts w:ascii="Times New Roman" w:hAnsi="Times New Roman" w:cs="Times New Roman"/>
        </w:rPr>
        <w:t xml:space="preserve"> </w:t>
      </w:r>
      <w:r>
        <w:rPr>
          <w:rFonts w:ascii="Times New Roman" w:hAnsi="Times New Roman" w:cs="Times New Roman"/>
        </w:rPr>
        <w:t xml:space="preserve">(1987) 13 NSWLR 162, 181 (McHugh JA) (</w:t>
      </w:r>
      <w:r>
        <w:rPr>
          <w:rFonts w:ascii="Times New Roman" w:hAnsi="Times New Roman" w:cs="Times New Roman"/>
        </w:rPr>
        <w:t xml:space="preserve">‘</w:t>
      </w:r>
      <w:r>
        <w:rPr>
          <w:iCs/>
          <w:i/>
          <w:rFonts w:ascii="Times New Roman" w:hAnsi="Times New Roman" w:cs="Times New Roman"/>
        </w:rPr>
        <w:t xml:space="preserve">Beaton</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Currie v Misa</w:t>
      </w:r>
      <w:r>
        <w:rPr>
          <w:rFonts w:ascii="Times New Roman" w:hAnsi="Times New Roman" w:cs="Times New Roman"/>
        </w:rPr>
        <w:t xml:space="preserve"> </w:t>
      </w:r>
      <w:r>
        <w:rPr>
          <w:rFonts w:ascii="Times New Roman" w:hAnsi="Times New Roman" w:cs="Times New Roman"/>
        </w:rPr>
        <w:t xml:space="preserve">(1875) LR 10 Ex 153, 162.</w:t>
      </w:r>
    </w:p>
  </w:footnote>
  <w:footnote w:id="6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456–8.</w:t>
      </w:r>
    </w:p>
  </w:footnote>
  <w:footnote w:id="6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Beaton</w:t>
      </w:r>
      <w:r>
        <w:rPr>
          <w:rFonts w:ascii="Times New Roman" w:hAnsi="Times New Roman" w:cs="Times New Roman"/>
        </w:rPr>
        <w:t xml:space="preserve"> </w:t>
      </w:r>
      <w:r>
        <w:rPr>
          <w:rFonts w:ascii="Times New Roman" w:hAnsi="Times New Roman" w:cs="Times New Roman"/>
        </w:rPr>
        <w:t xml:space="preserve">(n 28) 181 (McHugh JA), quoting</w:t>
      </w:r>
      <w:r>
        <w:rPr>
          <w:rFonts w:ascii="Times New Roman" w:hAnsi="Times New Roman" w:cs="Times New Roman"/>
        </w:rPr>
        <w:t xml:space="preserve"> </w:t>
      </w:r>
      <w:r>
        <w:rPr>
          <w:iCs/>
          <w:i/>
          <w:rFonts w:ascii="Times New Roman" w:hAnsi="Times New Roman" w:cs="Times New Roman"/>
        </w:rPr>
        <w:t xml:space="preserve">Thomas v Thomas</w:t>
      </w:r>
      <w:r>
        <w:rPr>
          <w:rFonts w:ascii="Times New Roman" w:hAnsi="Times New Roman" w:cs="Times New Roman"/>
        </w:rPr>
        <w:t xml:space="preserve"> </w:t>
      </w:r>
      <w:r>
        <w:rPr>
          <w:rFonts w:ascii="Times New Roman" w:hAnsi="Times New Roman" w:cs="Times New Roman"/>
        </w:rPr>
        <w:t xml:space="preserve">(1842) 2 QB 851, 859; 114 ER 330, 333–4.</w:t>
      </w:r>
    </w:p>
  </w:footnote>
  <w:footnote w:id="6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NSWCA 61; (2001) 53 NSWLR 153, 163–4, 167–8 (Heydon JA), 191 (Ipp AJA).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2026-10-10T10:10:20Z</dcterms:created>
  <dcterms:modified xsi:type="dcterms:W3CDTF">2026-10-10T10:10:20Z</dcterms:modified>
</cp:coreProperties>
</file>

<file path=docProps/custom.xml><?xml version="1.0" encoding="utf-8"?>
<Properties xmlns="http://schemas.openxmlformats.org/officeDocument/2006/custom-properties" xmlns:vt="http://schemas.openxmlformats.org/officeDocument/2006/docPropsVTypes"/>
</file>