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 ROCKY v GRACE</w:t>
      </w:r>
    </w:p>
    <w:p>
      <w:pPr>
        <w:pStyle w:val="BodyText"/>
      </w:pPr>
      <w:r>
        <w:t xml:space="preserve">Whether the February dealings formed a loan contract decides Rocky’s claim to repayment and any claim by Grace that he failed to lend. Grace’s 5 February call ‘proposed that Rocky offer’, promising nothing, so was likely an invitation to treat.</w:t>
      </w:r>
      <w:r>
        <w:rPr>
          <w:rStyle w:val="FootnoteReference"/>
        </w:rPr>
        <w:footnoteReference w:id="20"/>
      </w:r>
      <w:r>
        <w:t xml:space="preserve"> </w:t>
      </w:r>
      <w:r>
        <w:t xml:space="preserve">Rocky could say his 12 February email only records discussions, like its ‘Potential’ and ‘wait and see’ points, which promise nothing. However, ‘I will lend’ fixes the amount, date, term and rate, and the email seeks agreement: unlike ‘may be prepared to sell’, those words are promissory,</w:t>
      </w:r>
      <w:r>
        <w:rPr>
          <w:rStyle w:val="FootnoteReference"/>
        </w:rPr>
        <w:footnoteReference w:id="21"/>
      </w:r>
      <w:r>
        <w:t xml:space="preserve"> </w:t>
      </w:r>
      <w:r>
        <w:t xml:space="preserve">so the first point is likely an offer.</w:t>
      </w:r>
    </w:p>
    <w:p>
      <w:pPr>
        <w:pStyle w:val="BodyText"/>
      </w:pPr>
      <w:r>
        <w:t xml:space="preserve">Acceptance requires an external manifestation of assent.</w:t>
      </w:r>
      <w:r>
        <w:rPr>
          <w:rStyle w:val="FootnoteReference"/>
        </w:rPr>
        <w:footnoteReference w:id="22"/>
      </w:r>
      <w:r>
        <w:t xml:space="preserve"> </w:t>
      </w:r>
      <w:r>
        <w:t xml:space="preserve">‘Confirmed’ arguably vouched only for the email’s accuracy; but it answered a request to ‘confirm agreement’ without new terms, so it was no counter-offer and likely accepted the first point, ‘subject to satisfactory conditions’ included. Grace’s implied promise to repay would arguably be consideration, since a promise can be the price of another.</w:t>
      </w:r>
      <w:r>
        <w:rPr>
          <w:rStyle w:val="FootnoteReference"/>
        </w:rPr>
        <w:footnoteReference w:id="23"/>
      </w:r>
    </w:p>
    <w:p>
      <w:pPr>
        <w:pStyle w:val="BodyText"/>
      </w:pPr>
      <w:r>
        <w:t xml:space="preserve">The qualifier raises whether this preliminary agreement showed intention to create legal relations. That is judged objectively, the alleging party bearing the onus;</w:t>
      </w:r>
      <w:r>
        <w:rPr>
          <w:rStyle w:val="FootnoteReference"/>
        </w:rPr>
        <w:footnoteReference w:id="24"/>
      </w:r>
      <w:r>
        <w:t xml:space="preserve"> </w:t>
      </w:r>
      <w:r>
        <w:t xml:space="preserve">the parties’ status as ‘project developers’ favours intention. As nothing was made ‘subject to a formal contract’, the question is whether the terms were to ‘be put into form’ or left to ‘a new agreement’.</w:t>
      </w:r>
      <w:r>
        <w:rPr>
          <w:rStyle w:val="FootnoteReference"/>
        </w:rPr>
        <w:footnoteReference w:id="25"/>
      </w:r>
      <w:r>
        <w:t xml:space="preserve"> </w:t>
      </w:r>
      <w:r>
        <w:t xml:space="preserve">Grace would say the fixed terms show the parties had ‘reached finality’,</w:t>
      </w:r>
      <w:r>
        <w:t xml:space="preserve"> </w:t>
      </w:r>
      <w:r>
        <w:rPr>
          <w:iCs/>
          <w:i/>
        </w:rPr>
        <w:t xml:space="preserve">Masters</w:t>
      </w:r>
      <w:r>
        <w:t xml:space="preserve">’ first class.</w:t>
      </w:r>
      <w:r>
        <w:rPr>
          <w:rStyle w:val="FootnoteReference"/>
        </w:rPr>
        <w:footnoteReference w:id="26"/>
      </w:r>
      <w:r>
        <w:t xml:space="preserve"> </w:t>
      </w:r>
      <w:r>
        <w:t xml:space="preserve">Rocky would invoke the third class, where parties ‘have dealt only with major matters’,</w:t>
      </w:r>
      <w:r>
        <w:rPr>
          <w:rStyle w:val="FootnoteReference"/>
        </w:rPr>
        <w:footnoteReference w:id="27"/>
      </w:r>
      <w:r>
        <w:t xml:space="preserve"> </w:t>
      </w:r>
      <w:r>
        <w:t xml:space="preserve">as the email arguably did. Its ‘conditions’, unlike ‘subject to success of Hail Mary Project’, name no external event, so they are most naturally further loan terms; and ‘satisfactory’ leaves them to the protected party’s judgment,</w:t>
      </w:r>
      <w:r>
        <w:rPr>
          <w:rStyle w:val="FootnoteReference"/>
        </w:rPr>
        <w:footnoteReference w:id="28"/>
      </w:r>
      <w:r>
        <w:t xml:space="preserve"> </w:t>
      </w:r>
      <w:r>
        <w:t xml:space="preserve">here Rocky’s as lender. On balance, the loan was likely left to a new agreement: later conduct, admissible on formation, agrees, Grace taking AMPL’s loan on other terms.</w:t>
      </w:r>
      <w:r>
        <w:rPr>
          <w:rStyle w:val="FootnoteReference"/>
        </w:rPr>
        <w:footnoteReference w:id="29"/>
      </w:r>
      <w:r>
        <w:t xml:space="preserve"> </w:t>
      </w:r>
      <w:r>
        <w:t xml:space="preserve">Were the conditions settled ‘this morning’, the email would bind.</w:t>
      </w:r>
    </w:p>
    <w:p>
      <w:pPr>
        <w:pStyle w:val="BodyText"/>
      </w:pPr>
      <w:r>
        <w:t xml:space="preserve">The qualifier also arguably makes Rocky’s promise illusory, since a consideration is illusory if it ‘depends upon an unfettered discretion vested in the promisor’.</w:t>
      </w:r>
      <w:r>
        <w:rPr>
          <w:rStyle w:val="FootnoteReference"/>
        </w:rPr>
        <w:footnoteReference w:id="30"/>
      </w:r>
      <w:r>
        <w:t xml:space="preserve"> </w:t>
      </w:r>
      <w:r>
        <w:t xml:space="preserve">Grace may reply that, as in</w:t>
      </w:r>
      <w:r>
        <w:t xml:space="preserve"> </w:t>
      </w:r>
      <w:r>
        <w:rPr>
          <w:iCs/>
          <w:i/>
        </w:rPr>
        <w:t xml:space="preserve">Meehan</w:t>
      </w:r>
      <w:r>
        <w:t xml:space="preserve">, Rocky must judge honestly, perhaps reasonably,</w:t>
      </w:r>
      <w:r>
        <w:rPr>
          <w:rStyle w:val="FootnoteReference"/>
        </w:rPr>
        <w:footnoteReference w:id="31"/>
      </w:r>
      <w:r>
        <w:t xml:space="preserve"> </w:t>
      </w:r>
      <w:r>
        <w:t xml:space="preserve">and the fixed terms are ‘specified parameters’.</w:t>
      </w:r>
      <w:r>
        <w:rPr>
          <w:rStyle w:val="FootnoteReference"/>
        </w:rPr>
        <w:footnoteReference w:id="32"/>
      </w:r>
      <w:r>
        <w:t xml:space="preserve"> </w:t>
      </w:r>
      <w:r>
        <w:t xml:space="preserve">However,</w:t>
      </w:r>
      <w:r>
        <w:t xml:space="preserve"> </w:t>
      </w:r>
      <w:r>
        <w:rPr>
          <w:iCs/>
          <w:i/>
        </w:rPr>
        <w:t xml:space="preserve">Meehan</w:t>
      </w:r>
      <w:r>
        <w:t xml:space="preserve"> </w:t>
      </w:r>
      <w:r>
        <w:t xml:space="preserve">is distinguishable: its discretion related ‘only to the fulfilment of a condition’, finance, within agreed terms;</w:t>
      </w:r>
      <w:r>
        <w:rPr>
          <w:rStyle w:val="FootnoteReference"/>
        </w:rPr>
        <w:footnoteReference w:id="33"/>
      </w:r>
      <w:r>
        <w:t xml:space="preserve"> </w:t>
      </w:r>
      <w:r>
        <w:t xml:space="preserve">Rocky’s covers the loan’s own terms, which neither standard can supply and no range confines.</w:t>
      </w:r>
      <w:r>
        <w:t xml:space="preserve"> </w:t>
      </w:r>
      <w:r>
        <w:rPr>
          <w:iCs/>
          <w:i/>
        </w:rPr>
        <w:t xml:space="preserve">Godecke</w:t>
      </w:r>
      <w:r>
        <w:t xml:space="preserve"> </w:t>
      </w:r>
      <w:r>
        <w:t xml:space="preserve">bound because its added terms had to be ‘reasonable in an objective sense’.</w:t>
      </w:r>
      <w:r>
        <w:rPr>
          <w:rStyle w:val="FootnoteReference"/>
        </w:rPr>
        <w:footnoteReference w:id="34"/>
      </w:r>
      <w:r>
        <w:t xml:space="preserve"> </w:t>
      </w:r>
      <w:r>
        <w:t xml:space="preserve">Gibbs J, obiter, doubted any ‘concluded bargain’ where ‘a vital matter’ is left to one party; his ‘[p]erhaps’ for subsidiary matters cited a case where parties had ‘imported the familiar and objective standard of reasonableness’,</w:t>
      </w:r>
      <w:r>
        <w:rPr>
          <w:rStyle w:val="FootnoteReference"/>
        </w:rPr>
        <w:footnoteReference w:id="35"/>
      </w:r>
      <w:r>
        <w:t xml:space="preserve"> </w:t>
      </w:r>
      <w:r>
        <w:t xml:space="preserve">which these parties never did. The email therefore likely bound neither party, defeating Grace’s claim.</w:t>
      </w:r>
    </w:p>
    <w:p>
      <w:pPr>
        <w:pStyle w:val="BodyText"/>
      </w:pPr>
      <w:r>
        <w:t xml:space="preserve">Rocky may instead claim AMPL’s advance, made because he ‘asked’, performed his promise, so Grace owes him. Even had the email bound, the advance differed in amount and date. As Pierre ‘agreed to provide the money’ and the Loan Agreement named Rocky guarantor, which no lender acting for him would need, AMPL did not contract ‘as agent’ for him.</w:t>
      </w:r>
      <w:r>
        <w:rPr>
          <w:rStyle w:val="FootnoteReference"/>
        </w:rPr>
        <w:footnoteReference w:id="36"/>
      </w:r>
      <w:r>
        <w:t xml:space="preserve"> </w:t>
      </w:r>
      <w:r>
        <w:t xml:space="preserve">Rocky’s 5 March demand under the Loan Agreement, arguably assuming a 27 February start, engages privity: outside insurance, ‘a third party cannot sue upon a contract’, nor can ‘a stranger to the consideration’.</w:t>
      </w:r>
      <w:r>
        <w:rPr>
          <w:rStyle w:val="FootnoteReference"/>
        </w:rPr>
        <w:footnoteReference w:id="37"/>
      </w:r>
      <w:r>
        <w:t xml:space="preserve"> </w:t>
      </w:r>
      <w:r>
        <w:t xml:space="preserve">Party status turns on ‘the written instrument itself’,</w:t>
      </w:r>
      <w:r>
        <w:rPr>
          <w:rStyle w:val="FootnoteReference"/>
        </w:rPr>
        <w:footnoteReference w:id="38"/>
      </w:r>
      <w:r>
        <w:t xml:space="preserve"> </w:t>
      </w:r>
      <w:r>
        <w:t xml:space="preserve">which ‘AMPL and Grace entered into’: Grace’s promises ran to AMPL alone, not even jointly to Rocky,</w:t>
      </w:r>
      <w:r>
        <w:rPr>
          <w:rStyle w:val="FootnoteReference"/>
        </w:rPr>
        <w:footnoteReference w:id="39"/>
      </w:r>
      <w:r>
        <w:t xml:space="preserve"> </w:t>
      </w:r>
      <w:r>
        <w:t xml:space="preserve">who gave nothing for them, AMPL’s loan being their price. Grace’s ‘I never signed anything with you’ is right in result but wrong in reason: signature is not necessary,</w:t>
      </w:r>
      <w:r>
        <w:t xml:space="preserve"> </w:t>
      </w:r>
      <w:r>
        <w:rPr>
          <w:iCs/>
          <w:i/>
        </w:rPr>
        <w:t xml:space="preserve">Empirnall</w:t>
      </w:r>
      <w:r>
        <w:t xml:space="preserve">’s unsigned developer being bound,</w:t>
      </w:r>
      <w:r>
        <w:rPr>
          <w:rStyle w:val="FootnoteReference"/>
        </w:rPr>
        <w:footnoteReference w:id="40"/>
      </w:r>
      <w:r>
        <w:t xml:space="preserve"> </w:t>
      </w:r>
      <w:r>
        <w:t xml:space="preserve">nor decisive, Mrs Coulls signing without becoming a party.</w:t>
      </w:r>
      <w:r>
        <w:rPr>
          <w:rStyle w:val="FootnoteReference"/>
        </w:rPr>
        <w:footnoteReference w:id="41"/>
      </w:r>
    </w:p>
    <w:p>
      <w:pPr>
        <w:pStyle w:val="BodyText"/>
      </w:pPr>
      <w:r>
        <w:t xml:space="preserve">Thus Rocky has no present claim against Grace: the Development Agreement repays him first ‘if the Project made a profit’, even a ‘minimal’ one, but none is yet shown; and Grace never promised to reimburse what he pays AMPL.</w:t>
      </w:r>
    </w:p>
    <w:p>
      <w:pPr>
        <w:pStyle w:val="BodyText"/>
      </w:pPr>
      <w:r>
        <w:rPr>
          <w:bCs/>
          <w:b/>
        </w:rPr>
        <w:t xml:space="preserve">II. ROCKY v AMPL (ALTERNATIVELY PIERRE)</w:t>
      </w:r>
    </w:p>
    <w:p>
      <w:pPr>
        <w:pStyle w:val="BodyText"/>
      </w:pPr>
      <w:r>
        <w:t xml:space="preserve">Rocky’s questions are whether he can claim $10,000 and must pay AMPL. At the 8 April meeting, Pierre’s expressed expectation promised nothing, so was likely an invitation to treat.</w:t>
      </w:r>
      <w:r>
        <w:rPr>
          <w:rStyle w:val="FootnoteReference"/>
        </w:rPr>
        <w:footnoteReference w:id="42"/>
      </w:r>
      <w:r>
        <w:t xml:space="preserve"> </w:t>
      </w:r>
      <w:r>
        <w:t xml:space="preserve">Rocky’s ‘I will do that if you also promise’ offered a bilateral contract,</w:t>
      </w:r>
      <w:r>
        <w:rPr>
          <w:rStyle w:val="FootnoteReference"/>
        </w:rPr>
        <w:footnoteReference w:id="43"/>
      </w:r>
      <w:r>
        <w:t xml:space="preserve"> </w:t>
      </w:r>
      <w:r>
        <w:t xml:space="preserve">which Pierre accepted when he ‘agreed’.</w:t>
      </w:r>
      <w:r>
        <w:rPr>
          <w:rStyle w:val="FootnoteReference"/>
        </w:rPr>
        <w:footnoteReference w:id="44"/>
      </w:r>
      <w:r>
        <w:t xml:space="preserve"> </w:t>
      </w:r>
      <w:r>
        <w:t xml:space="preserve">AMPL may argue that nothing bound before signing; but that ‘depends upon the intention disclosed by the language’ used,</w:t>
      </w:r>
      <w:r>
        <w:rPr>
          <w:rStyle w:val="FootnoteReference"/>
        </w:rPr>
        <w:footnoteReference w:id="45"/>
      </w:r>
      <w:r>
        <w:t xml:space="preserve"> </w:t>
      </w:r>
      <w:r>
        <w:t xml:space="preserve">and Rocky reserved no right to withdraw pending a document he would not sign, so a contract likely formed orally.</w:t>
      </w:r>
    </w:p>
    <w:p>
      <w:pPr>
        <w:pStyle w:val="BodyText"/>
      </w:pPr>
      <w:r>
        <w:t xml:space="preserve">Who promised turns on agency: Pierre bound AMPL if he had ‘authority … to act for’ it and contracted for it, not solely for himself.</w:t>
      </w:r>
      <w:r>
        <w:rPr>
          <w:rStyle w:val="FootnoteReference"/>
        </w:rPr>
        <w:footnoteReference w:id="46"/>
      </w:r>
      <w:r>
        <w:t xml:space="preserve"> </w:t>
      </w:r>
      <w:r>
        <w:t xml:space="preserve">Rocky’s ‘you’ points to Pierre; but Pierre controls AMPL, supplying that authority, had agreed to its 27 February advance, and spoke at its office about its loan, so he likely acted for AMPL. If he promised personally, he alone owes the $10,000, and AMPL cannot sue on the undertaking.</w:t>
      </w:r>
    </w:p>
    <w:p>
      <w:pPr>
        <w:pStyle w:val="BodyText"/>
      </w:pPr>
      <w:r>
        <w:t xml:space="preserve">On consideration, AMPL may invoke the existing legal duty rule: ‘also’ arguably presupposes a guarantee already given, so, as in</w:t>
      </w:r>
      <w:r>
        <w:t xml:space="preserve"> </w:t>
      </w:r>
      <w:r>
        <w:rPr>
          <w:iCs/>
          <w:i/>
        </w:rPr>
        <w:t xml:space="preserve">Sundell</w:t>
      </w:r>
      <w:r>
        <w:t xml:space="preserve">, promising to ensure performance already owed adds nothing.</w:t>
      </w:r>
      <w:r>
        <w:rPr>
          <w:rStyle w:val="FootnoteReference"/>
        </w:rPr>
        <w:footnoteReference w:id="47"/>
      </w:r>
      <w:r>
        <w:t xml:space="preserve"> </w:t>
      </w:r>
      <w:r>
        <w:t xml:space="preserve">However, the rule applies ‘at least when’ the promise is made to the promisee under an existing contract,</w:t>
      </w:r>
      <w:r>
        <w:rPr>
          <w:rStyle w:val="FootnoteReference"/>
        </w:rPr>
        <w:footnoteReference w:id="48"/>
      </w:r>
      <w:r>
        <w:t xml:space="preserve"> </w:t>
      </w:r>
      <w:r>
        <w:t xml:space="preserve">and none is shown: on 27 February Rocky ‘asked’, and the clause, arguably included after Pierre ‘agreed’, bound no one before signing. Even otherwise, ensuring ‘all payments’ ‘promptly’ exceeds guaranteeing ‘repayment of the Loan’; and if Pierre promised, the exception for promises to third parties applies, any duty running to AMPL.</w:t>
      </w:r>
      <w:r>
        <w:rPr>
          <w:rStyle w:val="FootnoteReference"/>
        </w:rPr>
        <w:footnoteReference w:id="49"/>
      </w:r>
      <w:r>
        <w:t xml:space="preserve"> </w:t>
      </w:r>
      <w:r>
        <w:t xml:space="preserve">Rocky likely gave consideration, unless he also promised AMPL a guarantee when he ‘asked’.</w:t>
      </w:r>
    </w:p>
    <w:p>
      <w:pPr>
        <w:pStyle w:val="BodyText"/>
      </w:pPr>
      <w:r>
        <w:t xml:space="preserve">On intention, Pierre is Rocky’s cousin, but presumptions at most identify who bears the onus,</w:t>
      </w:r>
      <w:r>
        <w:rPr>
          <w:rStyle w:val="FootnoteReference"/>
        </w:rPr>
        <w:footnoteReference w:id="50"/>
      </w:r>
      <w:r>
        <w:t xml:space="preserve"> </w:t>
      </w:r>
      <w:r>
        <w:t xml:space="preserve">here Rocky; and a fixed sum promised at AMPL’s office as its loan was finalised is ‘appropriately promissory in character’.</w:t>
      </w:r>
      <w:r>
        <w:rPr>
          <w:rStyle w:val="FootnoteReference"/>
        </w:rPr>
        <w:footnoteReference w:id="51"/>
      </w:r>
      <w:r>
        <w:t xml:space="preserve"> </w:t>
      </w:r>
      <w:r>
        <w:t xml:space="preserve">Nor is Rocky’s undertaking a mere letter of comfort: Rogers CJ saw ‘no relevant difference’ between a ‘practice to ensure’ that a borrower could repay and a promise ‘to ensure’ it.</w:t>
      </w:r>
      <w:r>
        <w:rPr>
          <w:rStyle w:val="FootnoteReference"/>
        </w:rPr>
        <w:footnoteReference w:id="52"/>
      </w:r>
      <w:r>
        <w:t xml:space="preserve"> </w:t>
      </w:r>
      <w:r>
        <w:t xml:space="preserve">Rocky’s words were plainer and priced, so both promises likely bind.</w:t>
      </w:r>
    </w:p>
    <w:p>
      <w:pPr>
        <w:pStyle w:val="BodyText"/>
      </w:pPr>
      <w:r>
        <w:t xml:space="preserve">On certainty, the Loan Agreement fixes the payments Rocky must ‘ensure’, so his undertaking is not ‘so obscure’ as to be void.</w:t>
      </w:r>
      <w:r>
        <w:rPr>
          <w:rStyle w:val="FootnoteReference"/>
        </w:rPr>
        <w:footnoteReference w:id="53"/>
      </w:r>
      <w:r>
        <w:t xml:space="preserve"> </w:t>
      </w:r>
      <w:r>
        <w:t xml:space="preserve">His ‘I will do that’ contains no words of effort, and his ‘check in’ emails cannot construe it:</w:t>
      </w:r>
      <w:r>
        <w:rPr>
          <w:rStyle w:val="FootnoteReference"/>
        </w:rPr>
        <w:footnoteReference w:id="54"/>
      </w:r>
      <w:r>
        <w:t xml:space="preserve"> </w:t>
      </w:r>
      <w:r>
        <w:t xml:space="preserve">it likely promised that Grace would pay, not that Rocky would try. Nor is AMPL’s promise illusory: once Grace repays, it leaves ‘no discretion’.</w:t>
      </w:r>
      <w:r>
        <w:rPr>
          <w:rStyle w:val="FootnoteReference"/>
        </w:rPr>
        <w:footnoteReference w:id="55"/>
      </w:r>
    </w:p>
    <w:p>
      <w:pPr>
        <w:pStyle w:val="BodyText"/>
      </w:pPr>
      <w:r>
        <w:t xml:space="preserve">On privity, the $10,000 was to be paid ‘to me directly’ for consideration Rocky gave: he is its promisee, no stranger to the consideration.</w:t>
      </w:r>
      <w:r>
        <w:rPr>
          <w:rStyle w:val="FootnoteReference"/>
        </w:rPr>
        <w:footnoteReference w:id="56"/>
      </w:r>
      <w:r>
        <w:t xml:space="preserve"> </w:t>
      </w:r>
      <w:r>
        <w:t xml:space="preserve">Read naturally, ‘the clause’ is the guarantee clause already described, not a $10,000 term; either way, Rocky relies on the oral promise.</w:t>
      </w:r>
    </w:p>
    <w:p>
      <w:pPr>
        <w:pStyle w:val="BodyText"/>
      </w:pPr>
      <w:r>
        <w:t xml:space="preserve">Rocky’s exposure turns on whether the guarantee clause binds him. A guarantee was ‘provided by Rocky’, possibly only by his oral undertaking, and only ‘the parties to it’ are ‘bound by the obligations of a contract’.</w:t>
      </w:r>
      <w:r>
        <w:rPr>
          <w:rStyle w:val="FootnoteReference"/>
        </w:rPr>
        <w:footnoteReference w:id="57"/>
      </w:r>
      <w:r>
        <w:t xml:space="preserve"> </w:t>
      </w:r>
      <w:r>
        <w:t xml:space="preserve">Silence while a clause is included is generally not acceptance.</w:t>
      </w:r>
      <w:r>
        <w:rPr>
          <w:rStyle w:val="FootnoteReference"/>
        </w:rPr>
        <w:footnoteReference w:id="58"/>
      </w:r>
      <w:r>
        <w:t xml:space="preserve"> </w:t>
      </w:r>
      <w:r>
        <w:t xml:space="preserve">AMPL would say Rocky ‘attended’ as the clause was included, taking the $10,000 promise knowing the terms.</w:t>
      </w:r>
      <w:r>
        <w:rPr>
          <w:rStyle w:val="FootnoteReference"/>
        </w:rPr>
        <w:footnoteReference w:id="59"/>
      </w:r>
      <w:r>
        <w:t xml:space="preserve"> </w:t>
      </w:r>
      <w:r>
        <w:t xml:space="preserve">However, the benefit he took priced his own words, so taking it is not conduct ‘of such a character as necessarily’ to infer assent to the clause.</w:t>
      </w:r>
      <w:r>
        <w:rPr>
          <w:rStyle w:val="FootnoteReference"/>
        </w:rPr>
        <w:footnoteReference w:id="60"/>
      </w:r>
      <w:r>
        <w:t xml:space="preserve"> </w:t>
      </w:r>
      <w:r>
        <w:t xml:space="preserve">He is likely bound by his oral undertaking, and by the clause only if he saw its words.</w:t>
      </w:r>
    </w:p>
    <w:p>
      <w:pPr>
        <w:pStyle w:val="BodyText"/>
      </w:pPr>
      <w:r>
        <w:t xml:space="preserve">AMPL must also show consideration moving from itself,</w:t>
      </w:r>
      <w:r>
        <w:rPr>
          <w:rStyle w:val="FootnoteReference"/>
        </w:rPr>
        <w:footnoteReference w:id="61"/>
      </w:r>
      <w:r>
        <w:t xml:space="preserve"> </w:t>
      </w:r>
      <w:r>
        <w:t xml:space="preserve">which its $10,000 promise supplies if AMPL made it. Otherwise its advance is past consideration,</w:t>
      </w:r>
      <w:r>
        <w:rPr>
          <w:rStyle w:val="FootnoteReference"/>
        </w:rPr>
        <w:footnoteReference w:id="62"/>
      </w:r>
      <w:r>
        <w:t xml:space="preserve"> </w:t>
      </w:r>
      <w:r>
        <w:t xml:space="preserve">which counts only if requested, understood to be remunerated, and enforceable if promised in advance; Rocky ‘asked’, but, unlike the return in</w:t>
      </w:r>
      <w:r>
        <w:t xml:space="preserve"> </w:t>
      </w:r>
      <w:r>
        <w:rPr>
          <w:iCs/>
          <w:i/>
        </w:rPr>
        <w:t xml:space="preserve">Pao On</w:t>
      </w:r>
      <w:r>
        <w:t xml:space="preserve">, understood ‘at the time of the main agreement’,</w:t>
      </w:r>
      <w:r>
        <w:rPr>
          <w:rStyle w:val="FootnoteReference"/>
        </w:rPr>
        <w:footnoteReference w:id="63"/>
      </w:r>
      <w:r>
        <w:t xml:space="preserve"> </w:t>
      </w:r>
      <w:r>
        <w:t xml:space="preserve">no guarantee is shown then contemplated. AMPL might add that it signed after the clause’s inclusion, arguably ‘really done in consideration of’ the guarantee;</w:t>
      </w:r>
      <w:r>
        <w:rPr>
          <w:rStyle w:val="FootnoteReference"/>
        </w:rPr>
        <w:footnoteReference w:id="64"/>
      </w:r>
      <w:r>
        <w:t xml:space="preserve"> </w:t>
      </w:r>
      <w:r>
        <w:t xml:space="preserve">but Rocky priced his undertaking at $10,000, not at AMPL’s signature, so the clause then likely lacks consideration.</w:t>
      </w:r>
    </w:p>
    <w:p>
      <w:pPr>
        <w:pStyle w:val="BodyText"/>
      </w:pPr>
      <w:r>
        <w:t xml:space="preserve">Whether the 9 March call was premature depends on when the 12 months began. Construction is objective,</w:t>
      </w:r>
      <w:r>
        <w:rPr>
          <w:rStyle w:val="FootnoteReference"/>
        </w:rPr>
        <w:footnoteReference w:id="65"/>
      </w:r>
      <w:r>
        <w:t xml:space="preserve"> </w:t>
      </w:r>
      <w:r>
        <w:t xml:space="preserve">and post-contractual conduct, such as Grace’s interest payments or ‘I have until 8 April 2025’, cannot construe the term;</w:t>
      </w:r>
      <w:r>
        <w:rPr>
          <w:rStyle w:val="FootnoteReference"/>
        </w:rPr>
        <w:footnoteReference w:id="66"/>
      </w:r>
      <w:r>
        <w:t xml:space="preserve"> </w:t>
      </w:r>
      <w:r>
        <w:t xml:space="preserve">but, if it is ambiguous, pre-contractual conduct casting light on ‘the genesis of the contract’ is admissible.</w:t>
      </w:r>
      <w:r>
        <w:rPr>
          <w:rStyle w:val="FootnoteReference"/>
        </w:rPr>
        <w:footnoteReference w:id="67"/>
      </w:r>
      <w:r>
        <w:t xml:space="preserve"> </w:t>
      </w:r>
      <w:r>
        <w:t xml:space="preserve">Naming no start, it is arguably ambiguous. AMPL argues it ran from the 27 February advance, which the agreement ‘recorded’; but ‘recorded’ equally governs the 4% rate, which nothing shows predated 8 April, and the genesis shows only when money moved. The term therefore arguably ran from 8 April 2024, making the call premature, unless the Loan Agreement says otherwise. If the March interest went unpaid, Rocky’s undertaking is arguably already broken.</w:t>
      </w:r>
    </w:p>
    <w:p>
      <w:pPr>
        <w:pStyle w:val="BodyText"/>
      </w:pPr>
      <w:r>
        <w:t xml:space="preserve">The $10,000 is payable ‘once Grace repays the Loan’, a condition precedent to that obligation, not to the contract, which bound at once:</w:t>
      </w:r>
      <w:r>
        <w:rPr>
          <w:rStyle w:val="FootnoteReference"/>
        </w:rPr>
        <w:footnoteReference w:id="68"/>
      </w:r>
      <w:r>
        <w:t xml:space="preserve"> </w:t>
      </w:r>
      <w:r>
        <w:t xml:space="preserve">nothing is yet payable. Read commercially, Rocky’s own payment arguably satisfies it;</w:t>
      </w:r>
      <w:r>
        <w:rPr>
          <w:rStyle w:val="FootnoteReference"/>
        </w:rPr>
        <w:footnoteReference w:id="69"/>
      </w:r>
      <w:r>
        <w:t xml:space="preserve"> </w:t>
      </w:r>
      <w:r>
        <w:t xml:space="preserve">but the words name Grace, whose payment the $10,000 priced. AMPL’s call, not stopping Grace repaying, breaches no duty to ‘do everything necessary on [its] part’.</w:t>
      </w:r>
      <w:r>
        <w:rPr>
          <w:rStyle w:val="FootnoteReference"/>
        </w:rPr>
        <w:footnoteReference w:id="70"/>
      </w:r>
    </w:p>
    <w:p>
      <w:pPr>
        <w:pStyle w:val="BodyText"/>
      </w:pPr>
      <w:r>
        <w:t xml:space="preserve">Accordingly, Rocky is likely liable on his oral undertaking, in damages to AMPL or Pierre, for any payment Grace misses. If the clause also binds him and AMPL promised the $10,000, he is liable for $1,150,000 once the Loan is due and unpaid: now, on a 27 February start; otherwise from 8 April 2025. No term requires him to pay early, and paying likely forfeits the $10,000, payable only if Grace, who said he ‘might not pay at all’, repays.</w:t>
      </w:r>
    </w:p>
    <w:p>
      <w:pPr>
        <w:pStyle w:val="BodyText"/>
      </w:pPr>
      <w:r>
        <w:t xml:space="preserve">Word count: 1,600</w:t>
      </w:r>
    </w:p>
    <w:sectPr>
      <w:footerReference r:id="rId9" w:type="default"/>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rPr>
          <w:iCs/>
          <w:i/>
        </w:rPr>
        <w:t xml:space="preserve">Gibson</w:t>
      </w:r>
      <w:r>
        <w:t xml:space="preserve">’).</w:t>
      </w:r>
    </w:p>
  </w:footnote>
  <w:footnote w:id="21">
    <w:p>
      <w:pPr>
        <w:pStyle w:val="FootnoteText"/>
      </w:pPr>
      <w:r>
        <w:rPr>
          <w:rStyle w:val="FootnoteReference"/>
        </w:rPr>
        <w:footnoteRef/>
      </w:r>
      <w:r>
        <w:t xml:space="preserve"> </w:t>
      </w:r>
      <w:r>
        <w:t xml:space="preserve">Ibid.</w:t>
      </w:r>
    </w:p>
  </w:footnote>
  <w:footnote w:id="22">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rPr>
          <w:iCs/>
          <w:i/>
        </w:rPr>
        <w:t xml:space="preserve">Empirnall</w:t>
      </w:r>
      <w:r>
        <w:t xml:space="preserve">’).</w:t>
      </w:r>
    </w:p>
  </w:footnote>
  <w:footnote w:id="23">
    <w:p>
      <w:pPr>
        <w:pStyle w:val="FootnoteText"/>
      </w:pPr>
      <w:r>
        <w:rPr>
          <w:rStyle w:val="FootnoteReference"/>
        </w:rPr>
        <w:footnoteRef/>
      </w:r>
      <w:r>
        <w:t xml:space="preserve"> </w:t>
      </w:r>
      <w:r>
        <w:rPr>
          <w:iCs/>
          <w:i/>
        </w:rPr>
        <w:t xml:space="preserve">Beaton v McDivitt</w:t>
      </w:r>
      <w:r>
        <w:t xml:space="preserve"> </w:t>
      </w:r>
      <w:r>
        <w:t xml:space="preserve">(1987) 13 NSWLR 162, 168 (Kirby P) (‘</w:t>
      </w:r>
      <w:r>
        <w:rPr>
          <w:iCs/>
          <w:i/>
        </w:rPr>
        <w:t xml:space="preserve">Beaton</w:t>
      </w:r>
      <w:r>
        <w:t xml:space="preserve">’).</w:t>
      </w:r>
    </w:p>
  </w:footnote>
  <w:footnote w:id="24">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[25]–[26] (Gaudron, McHugh, Hayne and Callinan JJ) (‘</w:t>
      </w:r>
      <w:r>
        <w:rPr>
          <w:iCs/>
          <w:i/>
        </w:rPr>
        <w:t xml:space="preserve">Ermogenous</w:t>
      </w:r>
      <w:r>
        <w:t xml:space="preserve">’).</w:t>
      </w:r>
    </w:p>
  </w:footnote>
  <w:footnote w:id="25">
    <w:p>
      <w:pPr>
        <w:pStyle w:val="FootnoteText"/>
      </w:pPr>
      <w:r>
        <w:rPr>
          <w:rStyle w:val="FootnoteReference"/>
        </w:rPr>
        <w:footnoteRef/>
      </w:r>
      <w:r>
        <w:t xml:space="preserve"> </w:t>
      </w:r>
      <w:r>
        <w:rPr>
          <w:iCs/>
          <w:i/>
        </w:rPr>
        <w:t xml:space="preserve">Masters v Cameron</w:t>
      </w:r>
      <w:r>
        <w:t xml:space="preserve"> </w:t>
      </w:r>
      <w:r>
        <w:t xml:space="preserve">(1954) 91 CLR 353, 363 (Dixon CJ, McTiernan and Kitto JJ) (‘</w:t>
      </w:r>
      <w:r>
        <w:rPr>
          <w:iCs/>
          <w:i/>
        </w:rPr>
        <w:t xml:space="preserve">Masters</w:t>
      </w:r>
      <w:r>
        <w:t xml:space="preserve">’), quoting</w:t>
      </w:r>
      <w:r>
        <w:t xml:space="preserve"> </w:t>
      </w:r>
      <w:r>
        <w:rPr>
          <w:iCs/>
          <w:i/>
        </w:rPr>
        <w:t xml:space="preserve">Winn v Bull</w:t>
      </w:r>
      <w:r>
        <w:t xml:space="preserve"> </w:t>
      </w:r>
      <w:r>
        <w:t xml:space="preserve">(1877) 7 Ch D 29, 32 (Jessel MR).</w:t>
      </w:r>
    </w:p>
  </w:footnote>
  <w:footnote w:id="26">
    <w:p>
      <w:pPr>
        <w:pStyle w:val="FootnoteText"/>
      </w:pPr>
      <w:r>
        <w:rPr>
          <w:rStyle w:val="FootnoteReference"/>
        </w:rPr>
        <w:footnoteRef/>
      </w:r>
      <w:r>
        <w:t xml:space="preserve"> </w:t>
      </w:r>
      <w:r>
        <w:rPr>
          <w:iCs/>
          <w:i/>
        </w:rPr>
        <w:t xml:space="preserve">Masters</w:t>
      </w:r>
      <w:r>
        <w:t xml:space="preserve"> </w:t>
      </w:r>
      <w:r>
        <w:t xml:space="preserve">(n 6) 360 (Dixon CJ, McTiernan and Kitto JJ).</w:t>
      </w:r>
    </w:p>
  </w:footnote>
  <w:footnote w:id="27">
    <w:p>
      <w:pPr>
        <w:pStyle w:val="FootnoteText"/>
      </w:pPr>
      <w:r>
        <w:rPr>
          <w:rStyle w:val="FootnoteReference"/>
        </w:rPr>
        <w:footnoteRef/>
      </w:r>
      <w:r>
        <w:t xml:space="preserve"> </w:t>
      </w:r>
      <w:r>
        <w:t xml:space="preserve">Ibid 361 (Dixon CJ, McTiernan and Kitto JJ).</w:t>
      </w:r>
    </w:p>
  </w:footnote>
  <w:footnote w:id="28">
    <w:p>
      <w:pPr>
        <w:pStyle w:val="FootnoteText"/>
      </w:pPr>
      <w:r>
        <w:rPr>
          <w:rStyle w:val="FootnoteReference"/>
        </w:rPr>
        <w:footnoteRef/>
      </w:r>
      <w:r>
        <w:t xml:space="preserve"> </w:t>
      </w:r>
      <w:r>
        <w:rPr>
          <w:iCs/>
          <w:i/>
        </w:rPr>
        <w:t xml:space="preserve">Meehan v Jones</w:t>
      </w:r>
      <w:r>
        <w:t xml:space="preserve"> </w:t>
      </w:r>
      <w:r>
        <w:t xml:space="preserve">(1982) 149 CLR 571, 580–1 (Gibbs CJ) (‘</w:t>
      </w:r>
      <w:r>
        <w:rPr>
          <w:iCs/>
          <w:i/>
        </w:rPr>
        <w:t xml:space="preserve">Meehan</w:t>
      </w:r>
      <w:r>
        <w:t xml:space="preserve">’).</w:t>
      </w:r>
    </w:p>
  </w:footnote>
  <w:footnote w:id="29">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164 (Heydon JA) (‘</w:t>
      </w:r>
      <w:r>
        <w:rPr>
          <w:iCs/>
          <w:i/>
        </w:rPr>
        <w:t xml:space="preserve">Brambles</w:t>
      </w:r>
      <w:r>
        <w:t xml:space="preserve">’).</w:t>
      </w:r>
    </w:p>
  </w:footnote>
  <w:footnote w:id="30">
    <w:p>
      <w:pPr>
        <w:pStyle w:val="FootnoteText"/>
      </w:pPr>
      <w:r>
        <w:rPr>
          <w:rStyle w:val="FootnoteReference"/>
        </w:rPr>
        <w:footnoteRef/>
      </w:r>
      <w:r>
        <w:t xml:space="preserve"> </w:t>
      </w:r>
      <w:r>
        <w:rPr>
          <w:iCs/>
          <w:i/>
        </w:rPr>
        <w:t xml:space="preserve">Biotechnology Australia Pty Ltd v Pace</w:t>
      </w:r>
      <w:r>
        <w:t xml:space="preserve"> </w:t>
      </w:r>
      <w:r>
        <w:t xml:space="preserve">(1988) 15 NSWLR 130, 151 (McHugh JA) (‘</w:t>
      </w:r>
      <w:r>
        <w:rPr>
          <w:iCs/>
          <w:i/>
        </w:rPr>
        <w:t xml:space="preserve">Pace</w:t>
      </w:r>
      <w:r>
        <w:t xml:space="preserve">’), citing</w:t>
      </w:r>
      <w:r>
        <w:t xml:space="preserve"> </w:t>
      </w:r>
      <w:r>
        <w:rPr>
          <w:iCs/>
          <w:i/>
        </w:rPr>
        <w:t xml:space="preserve">Placer Development Ltd v Commonwealth</w:t>
      </w:r>
      <w:r>
        <w:t xml:space="preserve"> </w:t>
      </w:r>
      <w:r>
        <w:t xml:space="preserve">(1969) 121 CLR 353, 356, 360–1.</w:t>
      </w:r>
    </w:p>
  </w:footnote>
  <w:footnote w:id="31">
    <w:p>
      <w:pPr>
        <w:pStyle w:val="FootnoteText"/>
      </w:pPr>
      <w:r>
        <w:rPr>
          <w:rStyle w:val="FootnoteReference"/>
        </w:rPr>
        <w:footnoteRef/>
      </w:r>
      <w:r>
        <w:t xml:space="preserve"> </w:t>
      </w:r>
      <w:r>
        <w:rPr>
          <w:iCs/>
          <w:i/>
        </w:rPr>
        <w:t xml:space="preserve">Meehan</w:t>
      </w:r>
      <w:r>
        <w:t xml:space="preserve"> </w:t>
      </w:r>
      <w:r>
        <w:t xml:space="preserve">(n 9) 581 (Gibbs CJ), 589 (Mason J).</w:t>
      </w:r>
    </w:p>
  </w:footnote>
  <w:footnote w:id="32">
    <w:p>
      <w:pPr>
        <w:pStyle w:val="FootnoteText"/>
      </w:pPr>
      <w:r>
        <w:rPr>
          <w:rStyle w:val="FootnoteReference"/>
        </w:rPr>
        <w:footnoteRef/>
      </w:r>
      <w:r>
        <w:t xml:space="preserve"> </w:t>
      </w:r>
      <w:r>
        <w:rPr>
          <w:iCs/>
          <w:i/>
        </w:rPr>
        <w:t xml:space="preserve">Pace</w:t>
      </w:r>
      <w:r>
        <w:t xml:space="preserve"> </w:t>
      </w:r>
      <w:r>
        <w:t xml:space="preserve">(n 11) 151 (McHugh JA).</w:t>
      </w:r>
    </w:p>
  </w:footnote>
  <w:footnote w:id="33">
    <w:p>
      <w:pPr>
        <w:pStyle w:val="FootnoteText"/>
      </w:pPr>
      <w:r>
        <w:rPr>
          <w:rStyle w:val="FootnoteReference"/>
        </w:rPr>
        <w:footnoteRef/>
      </w:r>
      <w:r>
        <w:t xml:space="preserve"> </w:t>
      </w:r>
      <w:r>
        <w:rPr>
          <w:iCs/>
          <w:i/>
        </w:rPr>
        <w:t xml:space="preserve">Meehan</w:t>
      </w:r>
      <w:r>
        <w:t xml:space="preserve"> </w:t>
      </w:r>
      <w:r>
        <w:t xml:space="preserve">(n 9) 581–2 (Gibbs CJ).</w:t>
      </w:r>
    </w:p>
  </w:footnote>
  <w:footnote w:id="34">
    <w:p>
      <w:pPr>
        <w:pStyle w:val="FootnoteText"/>
      </w:pPr>
      <w:r>
        <w:rPr>
          <w:rStyle w:val="FootnoteReference"/>
        </w:rPr>
        <w:footnoteRef/>
      </w:r>
      <w:r>
        <w:t xml:space="preserve"> </w:t>
      </w:r>
      <w:r>
        <w:rPr>
          <w:iCs/>
          <w:i/>
        </w:rPr>
        <w:t xml:space="preserve">Godecke v Kirwan</w:t>
      </w:r>
      <w:r>
        <w:t xml:space="preserve"> </w:t>
      </w:r>
      <w:r>
        <w:t xml:space="preserve">(1973) 129 CLR 629, 642–3 (Walsh J).</w:t>
      </w:r>
    </w:p>
  </w:footnote>
  <w:footnote w:id="35">
    <w:p>
      <w:pPr>
        <w:pStyle w:val="FootnoteText"/>
      </w:pPr>
      <w:r>
        <w:rPr>
          <w:rStyle w:val="FootnoteReference"/>
        </w:rPr>
        <w:footnoteRef/>
      </w:r>
      <w:r>
        <w:t xml:space="preserve"> </w:t>
      </w:r>
      <w:r>
        <w:t xml:space="preserve">Ibid 646–7 (Gibbs J).</w:t>
      </w:r>
    </w:p>
  </w:footnote>
  <w:footnote w:id="36">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145 (Deane J) (‘</w:t>
      </w:r>
      <w:r>
        <w:rPr>
          <w:iCs/>
          <w:i/>
        </w:rPr>
        <w:t xml:space="preserve">Trident</w:t>
      </w:r>
      <w:r>
        <w:t xml:space="preserve">’).</w:t>
      </w:r>
    </w:p>
  </w:footnote>
  <w:footnote w:id="37">
    <w:p>
      <w:pPr>
        <w:pStyle w:val="FootnoteText"/>
      </w:pPr>
      <w:r>
        <w:rPr>
          <w:rStyle w:val="FootnoteReference"/>
        </w:rPr>
        <w:footnoteRef/>
      </w:r>
      <w:r>
        <w:t xml:space="preserve"> </w:t>
      </w:r>
      <w:r>
        <w:t xml:space="preserve">Ibid 115, 123 (Mason CJ and Wilson J).</w:t>
      </w:r>
    </w:p>
  </w:footnote>
  <w:footnote w:id="38">
    <w:p>
      <w:pPr>
        <w:pStyle w:val="FootnoteText"/>
      </w:pPr>
      <w:r>
        <w:rPr>
          <w:rStyle w:val="FootnoteReference"/>
        </w:rPr>
        <w:footnoteRef/>
      </w:r>
      <w:r>
        <w:t xml:space="preserve"> </w:t>
      </w:r>
      <w:r>
        <w:rPr>
          <w:iCs/>
          <w:i/>
        </w:rPr>
        <w:t xml:space="preserve">Coulls v Bagot’s Executor &amp; Trustee Co Ltd</w:t>
      </w:r>
      <w:r>
        <w:t xml:space="preserve"> </w:t>
      </w:r>
      <w:r>
        <w:t xml:space="preserve">(1967) 119 CLR 460, 487 (Taylor and Owen JJ) (‘</w:t>
      </w:r>
      <w:r>
        <w:rPr>
          <w:iCs/>
          <w:i/>
        </w:rPr>
        <w:t xml:space="preserve">Coulls</w:t>
      </w:r>
      <w:r>
        <w:t xml:space="preserve">’).</w:t>
      </w:r>
    </w:p>
  </w:footnote>
  <w:footnote w:id="39">
    <w:p>
      <w:pPr>
        <w:pStyle w:val="FootnoteText"/>
      </w:pPr>
      <w:r>
        <w:rPr>
          <w:rStyle w:val="FootnoteReference"/>
        </w:rPr>
        <w:footnoteRef/>
      </w:r>
      <w:r>
        <w:t xml:space="preserve"> </w:t>
      </w:r>
      <w:r>
        <w:t xml:space="preserve">Ibid 486 (Taylor and Owen JJ).</w:t>
      </w:r>
    </w:p>
  </w:footnote>
  <w:footnote w:id="40">
    <w:p>
      <w:pPr>
        <w:pStyle w:val="FootnoteText"/>
      </w:pPr>
      <w:r>
        <w:rPr>
          <w:rStyle w:val="FootnoteReference"/>
        </w:rPr>
        <w:footnoteRef/>
      </w:r>
      <w:r>
        <w:t xml:space="preserve"> </w:t>
      </w:r>
      <w:r>
        <w:rPr>
          <w:iCs/>
          <w:i/>
        </w:rPr>
        <w:t xml:space="preserve">Empirnall</w:t>
      </w:r>
      <w:r>
        <w:t xml:space="preserve"> </w:t>
      </w:r>
      <w:r>
        <w:t xml:space="preserve">(n 3) 535–6 (McHugh JA).</w:t>
      </w:r>
    </w:p>
  </w:footnote>
  <w:footnote w:id="41">
    <w:p>
      <w:pPr>
        <w:pStyle w:val="FootnoteText"/>
      </w:pPr>
      <w:r>
        <w:rPr>
          <w:rStyle w:val="FootnoteReference"/>
        </w:rPr>
        <w:footnoteRef/>
      </w:r>
      <w:r>
        <w:t xml:space="preserve"> </w:t>
      </w:r>
      <w:r>
        <w:rPr>
          <w:iCs/>
          <w:i/>
        </w:rPr>
        <w:t xml:space="preserve">Coulls</w:t>
      </w:r>
      <w:r>
        <w:t xml:space="preserve"> </w:t>
      </w:r>
      <w:r>
        <w:t xml:space="preserve">(n 19) 487 (Taylor and Owen JJ).</w:t>
      </w:r>
    </w:p>
  </w:footnote>
  <w:footnote w:id="42">
    <w:p>
      <w:pPr>
        <w:pStyle w:val="FootnoteText"/>
      </w:pPr>
      <w:r>
        <w:rPr>
          <w:rStyle w:val="FootnoteReference"/>
        </w:rPr>
        <w:footnoteRef/>
      </w:r>
      <w:r>
        <w:t xml:space="preserve"> </w:t>
      </w:r>
      <w:r>
        <w:rPr>
          <w:iCs/>
          <w:i/>
        </w:rPr>
        <w:t xml:space="preserve">Gibson</w:t>
      </w:r>
      <w:r>
        <w:t xml:space="preserve"> </w:t>
      </w:r>
      <w:r>
        <w:t xml:space="preserve">(n 1) 298 (Lord Diplock).</w:t>
      </w:r>
    </w:p>
  </w:footnote>
  <w:footnote w:id="43">
    <w:p>
      <w:pPr>
        <w:pStyle w:val="FootnoteText"/>
      </w:pPr>
      <w:r>
        <w:rPr>
          <w:rStyle w:val="FootnoteReference"/>
        </w:rPr>
        <w:footnoteRef/>
      </w:r>
      <w:r>
        <w:t xml:space="preserve"> </w:t>
      </w:r>
      <w:r>
        <w:rPr>
          <w:iCs/>
          <w:i/>
        </w:rPr>
        <w:t xml:space="preserve">Brambles</w:t>
      </w:r>
      <w:r>
        <w:t xml:space="preserve"> </w:t>
      </w:r>
      <w:r>
        <w:t xml:space="preserve">(n 10) 177 (Heydon JA), quoting</w:t>
      </w:r>
      <w:r>
        <w:t xml:space="preserve"> </w:t>
      </w:r>
      <w:r>
        <w:rPr>
          <w:iCs/>
          <w:i/>
        </w:rPr>
        <w:t xml:space="preserve">Integrated Computer Services Pty Ltd v Digital Equipment Corp (Aust) Pty Ltd</w:t>
      </w:r>
      <w:r>
        <w:t xml:space="preserve"> </w:t>
      </w:r>
      <w:r>
        <w:t xml:space="preserve">(1988) 5 BPR 11,110, 11,117–18 (McHugh JA).</w:t>
      </w:r>
    </w:p>
  </w:footnote>
  <w:footnote w:id="44">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45">
    <w:p>
      <w:pPr>
        <w:pStyle w:val="FootnoteText"/>
      </w:pPr>
      <w:r>
        <w:rPr>
          <w:rStyle w:val="FootnoteReference"/>
        </w:rPr>
        <w:footnoteRef/>
      </w:r>
      <w:r>
        <w:t xml:space="preserve"> </w:t>
      </w:r>
      <w:r>
        <w:rPr>
          <w:iCs/>
          <w:i/>
        </w:rPr>
        <w:t xml:space="preserve">Masters</w:t>
      </w:r>
      <w:r>
        <w:t xml:space="preserve"> </w:t>
      </w:r>
      <w:r>
        <w:t xml:space="preserve">(n 6) 361–2 (Dixon CJ, McTiernan and Kitto JJ).</w:t>
      </w:r>
    </w:p>
  </w:footnote>
  <w:footnote w:id="46">
    <w:p>
      <w:pPr>
        <w:pStyle w:val="FootnoteText"/>
      </w:pPr>
      <w:r>
        <w:rPr>
          <w:rStyle w:val="FootnoteReference"/>
        </w:rPr>
        <w:footnoteRef/>
      </w:r>
      <w:r>
        <w:t xml:space="preserve"> </w:t>
      </w:r>
      <w:r>
        <w:rPr>
          <w:iCs/>
          <w:i/>
        </w:rPr>
        <w:t xml:space="preserve">Port Jackson Stevedoring Pty Ltd v Salmond &amp; Spraggon (Aust) Pty Ltd</w:t>
      </w:r>
      <w:r>
        <w:t xml:space="preserve"> </w:t>
      </w:r>
      <w:r>
        <w:t xml:space="preserve">(1978) 139 CLR 231, 240 (Barwick CJ dissenting).</w:t>
      </w:r>
    </w:p>
  </w:footnote>
  <w:footnote w:id="47">
    <w:p>
      <w:pPr>
        <w:pStyle w:val="FootnoteText"/>
      </w:pPr>
      <w:r>
        <w:rPr>
          <w:rStyle w:val="FootnoteReference"/>
        </w:rPr>
        <w:footnoteRef/>
      </w:r>
      <w:r>
        <w:t xml:space="preserve"> </w:t>
      </w:r>
      <w:r>
        <w:rPr>
          <w:iCs/>
          <w:i/>
        </w:rPr>
        <w:t xml:space="preserve">TA Sundell &amp; Sons Pty Ltd v Emm Yannoulatos (Overseas) Pty Ltd</w:t>
      </w:r>
      <w:r>
        <w:t xml:space="preserve"> </w:t>
      </w:r>
      <w:r>
        <w:t xml:space="preserve">(1955) 56 SR (NSW) 323, 327 (‘</w:t>
      </w:r>
      <w:r>
        <w:rPr>
          <w:iCs/>
          <w:i/>
        </w:rPr>
        <w:t xml:space="preserve">Sundell</w:t>
      </w:r>
      <w:r>
        <w:t xml:space="preserve">’).</w:t>
      </w:r>
    </w:p>
  </w:footnote>
  <w:footnote w:id="48">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9">
    <w:p>
      <w:pPr>
        <w:pStyle w:val="FootnoteText"/>
      </w:pPr>
      <w:r>
        <w:rPr>
          <w:rStyle w:val="FootnoteReference"/>
        </w:rPr>
        <w:footnoteRef/>
      </w:r>
      <w:r>
        <w:t xml:space="preserve"> </w:t>
      </w:r>
      <w:r>
        <w:rPr>
          <w:iCs/>
          <w:i/>
        </w:rPr>
        <w:t xml:space="preserve">Pao On v Lau Yiu Long</w:t>
      </w:r>
      <w:r>
        <w:t xml:space="preserve"> </w:t>
      </w:r>
      <w:r>
        <w:t xml:space="preserve">[1980] AC 614, 632 (Lord Scarman for the Board) (‘</w:t>
      </w:r>
      <w:r>
        <w:rPr>
          <w:iCs/>
          <w:i/>
        </w:rPr>
        <w:t xml:space="preserve">Pao On</w:t>
      </w:r>
      <w:r>
        <w:t xml:space="preserve">’).</w:t>
      </w:r>
    </w:p>
  </w:footnote>
  <w:footnote w:id="50">
    <w:p>
      <w:pPr>
        <w:pStyle w:val="FootnoteText"/>
      </w:pPr>
      <w:r>
        <w:rPr>
          <w:rStyle w:val="FootnoteReference"/>
        </w:rPr>
        <w:footnoteRef/>
      </w:r>
      <w:r>
        <w:t xml:space="preserve"> </w:t>
      </w:r>
      <w:r>
        <w:rPr>
          <w:iCs/>
          <w:i/>
        </w:rPr>
        <w:t xml:space="preserve">Ermogenous</w:t>
      </w:r>
      <w:r>
        <w:t xml:space="preserve"> </w:t>
      </w:r>
      <w:r>
        <w:t xml:space="preserve">(n 5) [26] (Gaudron, McHugh, Hayne and Callinan JJ).</w:t>
      </w:r>
    </w:p>
  </w:footnote>
  <w:footnote w:id="51">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52">
    <w:p>
      <w:pPr>
        <w:pStyle w:val="FootnoteText"/>
      </w:pPr>
      <w:r>
        <w:rPr>
          <w:rStyle w:val="FootnoteReference"/>
        </w:rPr>
        <w:footnoteRef/>
      </w:r>
      <w:r>
        <w:t xml:space="preserve"> </w:t>
      </w:r>
      <w:r>
        <w:t xml:space="preserve">Ibid 525 (Rogers CJ).</w:t>
      </w:r>
    </w:p>
  </w:footnote>
  <w:footnote w:id="53">
    <w:p>
      <w:pPr>
        <w:pStyle w:val="FootnoteText"/>
      </w:pPr>
      <w:r>
        <w:rPr>
          <w:rStyle w:val="FootnoteReference"/>
        </w:rPr>
        <w:footnoteRef/>
      </w:r>
      <w:r>
        <w:t xml:space="preserve"> </w:t>
      </w:r>
      <w:r>
        <w:rPr>
          <w:iCs/>
          <w:i/>
        </w:rPr>
        <w:t xml:space="preserve">Council of the Upper Hunter County District v Australian Chilling and Freezing Co Ltd</w:t>
      </w:r>
      <w:r>
        <w:t xml:space="preserve"> </w:t>
      </w:r>
      <w:r>
        <w:t xml:space="preserve">(1968) 118 CLR 429, 437 (Barwick CJ) (‘</w:t>
      </w:r>
      <w:r>
        <w:rPr>
          <w:iCs/>
          <w:i/>
        </w:rPr>
        <w:t xml:space="preserve">Upper Hunter</w:t>
      </w:r>
      <w:r>
        <w:t xml:space="preserve">’), quoting</w:t>
      </w:r>
      <w:r>
        <w:t xml:space="preserve"> </w:t>
      </w:r>
      <w:r>
        <w:rPr>
          <w:iCs/>
          <w:i/>
        </w:rPr>
        <w:t xml:space="preserve">G Scammell and Nephew Ltd v Ouston</w:t>
      </w:r>
      <w:r>
        <w:t xml:space="preserve"> </w:t>
      </w:r>
      <w:r>
        <w:t xml:space="preserve">[1941] AC 251, 268 (Lord Wright).</w:t>
      </w:r>
    </w:p>
  </w:footnote>
  <w:footnote w:id="54">
    <w:p>
      <w:pPr>
        <w:pStyle w:val="FootnoteText"/>
      </w:pPr>
      <w:r>
        <w:rPr>
          <w:rStyle w:val="FootnoteReference"/>
        </w:rPr>
        <w:footnoteRef/>
      </w:r>
      <w:r>
        <w:t xml:space="preserve"> </w:t>
      </w:r>
      <w:r>
        <w:rPr>
          <w:iCs/>
          <w:i/>
        </w:rPr>
        <w:t xml:space="preserve">Brambles</w:t>
      </w:r>
      <w:r>
        <w:t xml:space="preserve"> </w:t>
      </w:r>
      <w:r>
        <w:t xml:space="preserve">(n 10) 164 (Heydon JA).</w:t>
      </w:r>
    </w:p>
  </w:footnote>
  <w:footnote w:id="55">
    <w:p>
      <w:pPr>
        <w:pStyle w:val="FootnoteText"/>
      </w:pPr>
      <w:r>
        <w:rPr>
          <w:rStyle w:val="FootnoteReference"/>
        </w:rPr>
        <w:footnoteRef/>
      </w:r>
      <w:r>
        <w:t xml:space="preserve"> </w:t>
      </w:r>
      <w:r>
        <w:rPr>
          <w:iCs/>
          <w:i/>
        </w:rPr>
        <w:t xml:space="preserve">Meehan</w:t>
      </w:r>
      <w:r>
        <w:t xml:space="preserve"> </w:t>
      </w:r>
      <w:r>
        <w:t xml:space="preserve">(n 9) 582 (Gibbs CJ).</w:t>
      </w:r>
    </w:p>
  </w:footnote>
  <w:footnote w:id="56">
    <w:p>
      <w:pPr>
        <w:pStyle w:val="FootnoteText"/>
      </w:pPr>
      <w:r>
        <w:rPr>
          <w:rStyle w:val="FootnoteReference"/>
        </w:rPr>
        <w:footnoteRef/>
      </w:r>
      <w:r>
        <w:t xml:space="preserve"> </w:t>
      </w:r>
      <w:r>
        <w:rPr>
          <w:iCs/>
          <w:i/>
        </w:rPr>
        <w:t xml:space="preserve">Trident</w:t>
      </w:r>
      <w:r>
        <w:t xml:space="preserve"> </w:t>
      </w:r>
      <w:r>
        <w:t xml:space="preserve">(n 17) 115 (Mason CJ and Wilson J).</w:t>
      </w:r>
    </w:p>
  </w:footnote>
  <w:footnote w:id="57">
    <w:p>
      <w:pPr>
        <w:pStyle w:val="FootnoteText"/>
      </w:pPr>
      <w:r>
        <w:rPr>
          <w:rStyle w:val="FootnoteReference"/>
        </w:rPr>
        <w:footnoteRef/>
      </w:r>
      <w:r>
        <w:t xml:space="preserve"> </w:t>
      </w:r>
      <w:r>
        <w:t xml:space="preserve">Ibid 129 (Brennan J dissenting), quoting</w:t>
      </w:r>
      <w:r>
        <w:t xml:space="preserve"> </w:t>
      </w:r>
      <w:r>
        <w:rPr>
          <w:iCs/>
          <w:i/>
        </w:rPr>
        <w:t xml:space="preserve">Wilson v Darling Island Stevedoring &amp; Lighterage Co Ltd</w:t>
      </w:r>
      <w:r>
        <w:t xml:space="preserve"> </w:t>
      </w:r>
      <w:r>
        <w:t xml:space="preserve">(1956) 95 CLR 43, 80 (Kitto J).</w:t>
      </w:r>
    </w:p>
  </w:footnote>
  <w:footnote w:id="58">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59">
    <w:p>
      <w:pPr>
        <w:pStyle w:val="FootnoteText"/>
      </w:pPr>
      <w:r>
        <w:rPr>
          <w:rStyle w:val="FootnoteReference"/>
        </w:rPr>
        <w:footnoteRef/>
      </w:r>
      <w:r>
        <w:t xml:space="preserve"> </w:t>
      </w:r>
      <w:r>
        <w:t xml:space="preserve">Ibid 535–6 (McHugh JA).</w:t>
      </w:r>
    </w:p>
  </w:footnote>
  <w:footnote w:id="60">
    <w:p>
      <w:pPr>
        <w:pStyle w:val="FootnoteText"/>
      </w:pPr>
      <w:r>
        <w:rPr>
          <w:rStyle w:val="FootnoteReference"/>
        </w:rPr>
        <w:footnoteRef/>
      </w:r>
      <w:r>
        <w:t xml:space="preserve"> </w:t>
      </w:r>
      <w:r>
        <w:rPr>
          <w:iCs/>
          <w:i/>
        </w:rPr>
        <w:t xml:space="preserve">Brambles</w:t>
      </w:r>
      <w:r>
        <w:t xml:space="preserve"> </w:t>
      </w:r>
      <w:r>
        <w:t xml:space="preserve">(n 10) 195 (Ipp AJA), quoting</w:t>
      </w:r>
      <w:r>
        <w:t xml:space="preserve"> </w:t>
      </w:r>
      <w:r>
        <w:rPr>
          <w:iCs/>
          <w:i/>
        </w:rPr>
        <w:t xml:space="preserve">Brogden v Metropolitan Railway Co</w:t>
      </w:r>
      <w:r>
        <w:t xml:space="preserve"> </w:t>
      </w:r>
      <w:r>
        <w:t xml:space="preserve">(1877) 2 App Cas 666, 686 (Lord Hatherley).</w:t>
      </w:r>
    </w:p>
  </w:footnote>
  <w:footnote w:id="61">
    <w:p>
      <w:pPr>
        <w:pStyle w:val="FootnoteText"/>
      </w:pPr>
      <w:r>
        <w:rPr>
          <w:rStyle w:val="FootnoteReference"/>
        </w:rPr>
        <w:footnoteRef/>
      </w:r>
      <w:r>
        <w:t xml:space="preserve"> </w:t>
      </w:r>
      <w:r>
        <w:rPr>
          <w:iCs/>
          <w:i/>
        </w:rPr>
        <w:t xml:space="preserve">Trident</w:t>
      </w:r>
      <w:r>
        <w:t xml:space="preserve"> </w:t>
      </w:r>
      <w:r>
        <w:t xml:space="preserve">(n 17) 115 (Mason CJ and Wilson J).</w:t>
      </w:r>
    </w:p>
  </w:footnote>
  <w:footnote w:id="62">
    <w:p>
      <w:pPr>
        <w:pStyle w:val="FootnoteText"/>
      </w:pPr>
      <w:r>
        <w:rPr>
          <w:rStyle w:val="FootnoteReference"/>
        </w:rPr>
        <w:footnoteRef/>
      </w:r>
      <w:r>
        <w:t xml:space="preserve"> </w:t>
      </w:r>
      <w:r>
        <w:rPr>
          <w:iCs/>
          <w:i/>
        </w:rPr>
        <w:t xml:space="preserve">Roscorla v Thomas</w:t>
      </w:r>
      <w:r>
        <w:t xml:space="preserve"> </w:t>
      </w:r>
      <w:r>
        <w:t xml:space="preserve">(1842) 3 QB 234, 237; 114 ER 496 (Lord Denman CJ).</w:t>
      </w:r>
    </w:p>
  </w:footnote>
  <w:footnote w:id="63">
    <w:p>
      <w:pPr>
        <w:pStyle w:val="FootnoteText"/>
      </w:pPr>
      <w:r>
        <w:rPr>
          <w:rStyle w:val="FootnoteReference"/>
        </w:rPr>
        <w:footnoteRef/>
      </w:r>
      <w:r>
        <w:t xml:space="preserve"> </w:t>
      </w:r>
      <w:r>
        <w:rPr>
          <w:iCs/>
          <w:i/>
        </w:rPr>
        <w:t xml:space="preserve">Pao On</w:t>
      </w:r>
      <w:r>
        <w:t xml:space="preserve"> </w:t>
      </w:r>
      <w:r>
        <w:t xml:space="preserve">(n 30) 629 (Lord Scarman for the Board).</w:t>
      </w:r>
    </w:p>
  </w:footnote>
  <w:footnote w:id="64">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456 (Dixon CJ, Williams, Webb, Fullagar and Kitto JJ).</w:t>
      </w:r>
    </w:p>
  </w:footnote>
  <w:footnote w:id="65">
    <w:p>
      <w:pPr>
        <w:pStyle w:val="FootnoteText"/>
      </w:pPr>
      <w:r>
        <w:rPr>
          <w:rStyle w:val="FootnoteReference"/>
        </w:rPr>
        <w:footnoteRef/>
      </w:r>
      <w:r>
        <w:t xml:space="preserve"> </w:t>
      </w:r>
      <w:r>
        <w:rPr>
          <w:iCs/>
          <w:i/>
        </w:rPr>
        <w:t xml:space="preserve">Brambles</w:t>
      </w:r>
      <w:r>
        <w:t xml:space="preserve"> </w:t>
      </w:r>
      <w:r>
        <w:t xml:space="preserve">(n 10) 164 (Heydon JA).</w:t>
      </w:r>
    </w:p>
  </w:footnote>
  <w:footnote w:id="66">
    <w:p>
      <w:pPr>
        <w:pStyle w:val="FootnoteText"/>
      </w:pPr>
      <w:r>
        <w:rPr>
          <w:rStyle w:val="FootnoteReference"/>
        </w:rPr>
        <w:footnoteRef/>
      </w:r>
      <w:r>
        <w:t xml:space="preserve"> </w:t>
      </w:r>
      <w:r>
        <w:t xml:space="preserve">Ibid.</w:t>
      </w:r>
    </w:p>
  </w:footnote>
  <w:footnote w:id="67">
    <w:p>
      <w:pPr>
        <w:pStyle w:val="FootnoteText"/>
      </w:pPr>
      <w:r>
        <w:rPr>
          <w:rStyle w:val="FootnoteReference"/>
        </w:rPr>
        <w:footnoteRef/>
      </w:r>
      <w:r>
        <w:t xml:space="preserve"> </w:t>
      </w:r>
      <w:r>
        <w:t xml:space="preserve">Ibid 163 (Heydon JA).</w:t>
      </w:r>
    </w:p>
  </w:footnote>
  <w:footnote w:id="68">
    <w:p>
      <w:pPr>
        <w:pStyle w:val="FootnoteText"/>
      </w:pPr>
      <w:r>
        <w:rPr>
          <w:rStyle w:val="FootnoteReference"/>
        </w:rPr>
        <w:footnoteRef/>
      </w:r>
      <w:r>
        <w:t xml:space="preserve"> </w:t>
      </w:r>
      <w:r>
        <w:rPr>
          <w:iCs/>
          <w:i/>
        </w:rPr>
        <w:t xml:space="preserve">Meehan</w:t>
      </w:r>
      <w:r>
        <w:t xml:space="preserve"> </w:t>
      </w:r>
      <w:r>
        <w:t xml:space="preserve">(n 9) 582 (Gibbs CJ).</w:t>
      </w:r>
    </w:p>
  </w:footnote>
  <w:footnote w:id="69">
    <w:p>
      <w:pPr>
        <w:pStyle w:val="FootnoteText"/>
      </w:pPr>
      <w:r>
        <w:rPr>
          <w:rStyle w:val="FootnoteReference"/>
        </w:rPr>
        <w:footnoteRef/>
      </w:r>
      <w:r>
        <w:t xml:space="preserve"> </w:t>
      </w:r>
      <w:r>
        <w:rPr>
          <w:iCs/>
          <w:i/>
        </w:rPr>
        <w:t xml:space="preserve">Upper Hunter</w:t>
      </w:r>
      <w:r>
        <w:t xml:space="preserve"> </w:t>
      </w:r>
      <w:r>
        <w:t xml:space="preserve">(n 34) 437 (Barwick CJ).</w:t>
      </w:r>
    </w:p>
  </w:footnote>
  <w:footnote w:id="70">
    <w:p>
      <w:pPr>
        <w:pStyle w:val="FootnoteText"/>
      </w:pPr>
      <w:r>
        <w:rPr>
          <w:rStyle w:val="FootnoteReference"/>
        </w:rPr>
        <w:footnoteRef/>
      </w:r>
      <w:r>
        <w:t xml:space="preserve"> </w:t>
      </w:r>
      <w:r>
        <w:rPr>
          <w:iCs/>
          <w:i/>
        </w:rPr>
        <w:t xml:space="preserve">Beaton</w:t>
      </w:r>
      <w:r>
        <w:t xml:space="preserve"> </w:t>
      </w:r>
      <w:r>
        <w:t xml:space="preserve">(n 4) 185 (McHugh JA dissenting), citing</w:t>
      </w:r>
      <w:r>
        <w:t xml:space="preserve"> </w:t>
      </w:r>
      <w:r>
        <w:rPr>
          <w:iCs/>
          <w:i/>
        </w:rPr>
        <w:t xml:space="preserve">Secured Income Real Estate (Aust) Ltd v St Martins Investments Pty Ltd</w:t>
      </w:r>
      <w:r>
        <w:t xml:space="preserve"> </w:t>
      </w:r>
      <w:r>
        <w:t xml:space="preserve">(1979) 144 CLR 596, 607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pPr>
      <w:spacing w:after="0" w:before="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2026-10-13T15:38:14Z</dcterms:created>
  <dcterms:modified xsi:type="dcterms:W3CDTF">2026-10-13T15:38:14Z</dcterms:modified>
</cp:coreProperties>
</file>

<file path=docProps/custom.xml><?xml version="1.0" encoding="utf-8"?>
<Properties xmlns="http://schemas.openxmlformats.org/officeDocument/2006/custom-properties" xmlns:vt="http://schemas.openxmlformats.org/officeDocument/2006/docPropsVTypes"/>
</file>