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I. ROCKY v GRACE</w:t>
      </w:r>
    </w:p>
    <w:p>
      <w:pPr>
        <w:pStyle w:val="BodyText"/>
      </w:pPr>
      <w:r>
        <w:t xml:space="preserve">The first issue is whether the February dealings formed a loan contract, on which both Rocky’s claim to repayment and any claim by Grace that Rocky failed to lend ‘by 15 February’ depend. Grace’s 5 February call asked Rocky to make an offer, so it was not itself one,</w:t>
      </w:r>
      <w:r>
        <w:rPr>
          <w:rStyle w:val="FootnoteReference"/>
        </w:rPr>
        <w:footnoteReference w:id="20"/>
      </w:r>
      <w:r>
        <w:t xml:space="preserve"> </w:t>
      </w:r>
      <w:r>
        <w:t xml:space="preserve">and Rocky declined. Rocky could argue that his 12 February email merely records their meeting, as it opens ‘Confirming discussions’ and its other points promise nothing; however, ‘I will lend’ fixes the amount, date, term and rate, and ‘Please confirm agreement’ seeks assent, so, unlike ‘may be prepared to sell’ in</w:t>
      </w:r>
      <w:r>
        <w:t xml:space="preserve"> </w:t>
      </w:r>
      <w:r>
        <w:rPr>
          <w:iCs/>
          <w:i/>
        </w:rPr>
        <w:t xml:space="preserve">Gibson</w:t>
      </w:r>
      <w:r>
        <w:t xml:space="preserve">,</w:t>
      </w:r>
      <w:r>
        <w:rPr>
          <w:rStyle w:val="FootnoteReference"/>
        </w:rPr>
        <w:footnoteReference w:id="21"/>
      </w:r>
      <w:r>
        <w:t xml:space="preserve"> </w:t>
      </w:r>
      <w:r>
        <w:t xml:space="preserve">the first point is likely an offer, though made ‘subject to satisfactory conditions’.</w:t>
      </w:r>
    </w:p>
    <w:p>
      <w:pPr>
        <w:pStyle w:val="BodyText"/>
      </w:pPr>
      <w:r>
        <w:t xml:space="preserve">Acceptance requires ‘an external manifestation of assent to an offer’.</w:t>
      </w:r>
      <w:r>
        <w:rPr>
          <w:rStyle w:val="FootnoteReference"/>
        </w:rPr>
        <w:footnoteReference w:id="22"/>
      </w:r>
      <w:r>
        <w:t xml:space="preserve"> </w:t>
      </w:r>
      <w:r>
        <w:t xml:space="preserve">Rocky could say that ‘Confirmed’ vouched only for the email’s accuracy; however, it answered a request to ‘confirm agreement’ and added no terms, so it likely accepted the first point, qualifier included. Grace’s implied promise to repay with interest would stand in ‘the relation of a quid pro quo’ to Rocky’s promise to lend.</w:t>
      </w:r>
      <w:r>
        <w:rPr>
          <w:rStyle w:val="FootnoteReference"/>
        </w:rPr>
        <w:footnoteReference w:id="23"/>
      </w:r>
    </w:p>
    <w:p>
      <w:pPr>
        <w:pStyle w:val="BodyText"/>
      </w:pPr>
      <w:r>
        <w:t xml:space="preserve">The qualifier raises whether the parties intended to be bound immediately, which is judged objectively, the onus lying on Grace, who alone would sue on the email, although their status as ‘project developers’ supports intention.</w:t>
      </w:r>
      <w:r>
        <w:rPr>
          <w:rStyle w:val="FootnoteReference"/>
        </w:rPr>
        <w:footnoteReference w:id="24"/>
      </w:r>
      <w:r>
        <w:t xml:space="preserve"> </w:t>
      </w:r>
      <w:r>
        <w:t xml:space="preserve">Decisively, the third class in</w:t>
      </w:r>
      <w:r>
        <w:t xml:space="preserve"> </w:t>
      </w:r>
      <w:r>
        <w:rPr>
          <w:iCs/>
          <w:i/>
        </w:rPr>
        <w:t xml:space="preserve">Masters</w:t>
      </w:r>
      <w:r>
        <w:t xml:space="preserve"> </w:t>
      </w:r>
      <w:r>
        <w:t xml:space="preserve">covers parties who ‘have dealt only with major matters and contemplate that others will or may be regulated by provisions to be introduced’;</w:t>
      </w:r>
      <w:r>
        <w:rPr>
          <w:rStyle w:val="FootnoteReference"/>
        </w:rPr>
        <w:footnoteReference w:id="25"/>
      </w:r>
      <w:r>
        <w:t xml:space="preserve"> </w:t>
      </w:r>
      <w:r>
        <w:t xml:space="preserve">that describes an email fixing the amount, date, term and rate while leaving unnamed ‘conditions’ to Rocky. Grace’s strongest counter is</w:t>
      </w:r>
      <w:r>
        <w:t xml:space="preserve"> </w:t>
      </w:r>
      <w:r>
        <w:rPr>
          <w:iCs/>
          <w:i/>
        </w:rPr>
        <w:t xml:space="preserve">Godecke</w:t>
      </w:r>
      <w:r>
        <w:t xml:space="preserve">, where terms the vendor’s solicitors could add bound because they had to be reasonable ‘in an objective sense’;</w:t>
      </w:r>
      <w:r>
        <w:rPr>
          <w:rStyle w:val="FootnoteReference"/>
        </w:rPr>
        <w:footnoteReference w:id="26"/>
      </w:r>
      <w:r>
        <w:t xml:space="preserve"> </w:t>
      </w:r>
      <w:r>
        <w:t xml:space="preserve">Rocky’s qualifier has no such standard, since ‘satisfactory’ leaves the judgment to the party the condition protects,</w:t>
      </w:r>
      <w:r>
        <w:rPr>
          <w:rStyle w:val="FootnoteReference"/>
        </w:rPr>
        <w:footnoteReference w:id="27"/>
      </w:r>
      <w:r>
        <w:t xml:space="preserve"> </w:t>
      </w:r>
      <w:r>
        <w:t xml:space="preserve">here Rocky as lender. Gibbs J, in obiter, doubted that an agreement leaving ‘further terms to be settled by one of the parties’ binds, while allowing that it ‘may be different’ where only ‘subsidiary matters’ remain;</w:t>
      </w:r>
      <w:r>
        <w:rPr>
          <w:rStyle w:val="FootnoteReference"/>
        </w:rPr>
        <w:footnoteReference w:id="28"/>
      </w:r>
      <w:r>
        <w:t xml:space="preserve"> </w:t>
      </w:r>
      <w:r>
        <w:t xml:space="preserve">were the conditions settled ‘this morning’ or mere documentation, the email would bind, so further information on them is needed. On balance, the loan was likely left to a new agreement.</w:t>
      </w:r>
    </w:p>
    <w:p>
      <w:pPr>
        <w:pStyle w:val="BodyText"/>
      </w:pPr>
      <w:r>
        <w:t xml:space="preserve">For the same reason Rocky’s promise is arguably illusory: in</w:t>
      </w:r>
      <w:r>
        <w:t xml:space="preserve"> </w:t>
      </w:r>
      <w:r>
        <w:rPr>
          <w:iCs/>
          <w:i/>
        </w:rPr>
        <w:t xml:space="preserve">Placer</w:t>
      </w:r>
      <w:r>
        <w:t xml:space="preserve"> </w:t>
      </w:r>
      <w:r>
        <w:t xml:space="preserve">a promise with no ‘identifiable criteria’, left ‘solely to the discretion’ of the promisor, was ‘wholly unenforceable’.</w:t>
      </w:r>
      <w:r>
        <w:rPr>
          <w:rStyle w:val="FootnoteReference"/>
        </w:rPr>
        <w:footnoteReference w:id="29"/>
      </w:r>
      <w:r>
        <w:t xml:space="preserve"> </w:t>
      </w:r>
      <w:r>
        <w:t xml:space="preserve">Grace may reply that, as in</w:t>
      </w:r>
      <w:r>
        <w:t xml:space="preserve"> </w:t>
      </w:r>
      <w:r>
        <w:rPr>
          <w:iCs/>
          <w:i/>
        </w:rPr>
        <w:t xml:space="preserve">Meehan</w:t>
      </w:r>
      <w:r>
        <w:t xml:space="preserve">, Rocky must judge ‘satisfactory’ honestly,</w:t>
      </w:r>
      <w:r>
        <w:rPr>
          <w:rStyle w:val="FootnoteReference"/>
        </w:rPr>
        <w:footnoteReference w:id="30"/>
      </w:r>
      <w:r>
        <w:t xml:space="preserve"> </w:t>
      </w:r>
      <w:r>
        <w:t xml:space="preserve">a limit which ‘takes the case out of the principle’ that a promisor’s discretion over performance defeats the promise;</w:t>
      </w:r>
      <w:r>
        <w:rPr>
          <w:rStyle w:val="FootnoteReference"/>
        </w:rPr>
        <w:footnoteReference w:id="31"/>
      </w:r>
      <w:r>
        <w:t xml:space="preserve"> </w:t>
      </w:r>
      <w:r>
        <w:t xml:space="preserve">however, the discretion in</w:t>
      </w:r>
      <w:r>
        <w:t xml:space="preserve"> </w:t>
      </w:r>
      <w:r>
        <w:rPr>
          <w:iCs/>
          <w:i/>
        </w:rPr>
        <w:t xml:space="preserve">Meehan</w:t>
      </w:r>
      <w:r>
        <w:t xml:space="preserve"> </w:t>
      </w:r>
      <w:r>
        <w:t xml:space="preserve">related ‘only to the fulfilment of a condition’,</w:t>
      </w:r>
      <w:r>
        <w:rPr>
          <w:rStyle w:val="FootnoteReference"/>
        </w:rPr>
        <w:footnoteReference w:id="32"/>
      </w:r>
      <w:r>
        <w:t xml:space="preserve"> </w:t>
      </w:r>
      <w:r>
        <w:t xml:space="preserve">obtaining finance, whereas Rocky’s concerns the content of his own loan, which honesty cannot supply. The email therefore likely bound neither party, so Grace has no claim that Rocky failed to lend.</w:t>
      </w:r>
    </w:p>
    <w:p>
      <w:pPr>
        <w:pStyle w:val="BodyText"/>
      </w:pPr>
      <w:r>
        <w:t xml:space="preserve">Rocky may claim that AMPL’s 27 February advance, made because he ‘asked’, performed his promise, so that Grace owes him the money. This fails: the advance was $1,150,000, not $1 million, made after 15 February and in AMPL’s name, on terms first fixed on 8 April at 4%. Nor did AMPL lend as his agent: a principal is a party only where another ‘contracts as agent’ for him,</w:t>
      </w:r>
      <w:r>
        <w:rPr>
          <w:rStyle w:val="FootnoteReference"/>
        </w:rPr>
        <w:footnoteReference w:id="33"/>
      </w:r>
      <w:r>
        <w:t xml:space="preserve"> </w:t>
      </w:r>
      <w:r>
        <w:t xml:space="preserve">and AMPL contracted in its own name. His 5 March demand under ‘the Loan Agreement with AMPL’ therefore meets privity, under which ‘a third party cannot sue upon a contract’.</w:t>
      </w:r>
      <w:r>
        <w:rPr>
          <w:rStyle w:val="FootnoteReference"/>
        </w:rPr>
        <w:footnoteReference w:id="34"/>
      </w:r>
      <w:r>
        <w:t xml:space="preserve"> </w:t>
      </w:r>
      <w:r>
        <w:t xml:space="preserve">Party status turns on ‘the written instrument itself’,</w:t>
      </w:r>
      <w:r>
        <w:rPr>
          <w:rStyle w:val="FootnoteReference"/>
        </w:rPr>
        <w:footnoteReference w:id="35"/>
      </w:r>
      <w:r>
        <w:t xml:space="preserve"> </w:t>
      </w:r>
      <w:r>
        <w:t xml:space="preserve">and Grace’s promises to repay were made to AMPL, not to Rocky, even as a joint promisee;</w:t>
      </w:r>
      <w:r>
        <w:rPr>
          <w:rStyle w:val="FootnoteReference"/>
        </w:rPr>
        <w:footnoteReference w:id="36"/>
      </w:r>
      <w:r>
        <w:t xml:space="preserve"> </w:t>
      </w:r>
      <w:r>
        <w:t xml:space="preserve">Grace’s ‘I never signed anything with you’ reaches the right result, but signature is not the test, as Mrs Coulls signed yet was not a party.</w:t>
      </w:r>
      <w:r>
        <w:rPr>
          <w:rStyle w:val="FootnoteReference"/>
        </w:rPr>
        <w:footnoteReference w:id="37"/>
      </w:r>
    </w:p>
    <w:p>
      <w:pPr>
        <w:pStyle w:val="BodyText"/>
      </w:pPr>
      <w:r>
        <w:t xml:space="preserve">Thus Rocky has no contractual claim against Grace: the Development Agreement pays only ‘if the Project made a profit’ and is not shown breached, and Grace never promised to reimburse Rocky for anything he pays AMPL.</w:t>
      </w:r>
    </w:p>
    <w:p>
      <w:pPr>
        <w:pStyle w:val="BodyText"/>
      </w:pPr>
      <w:r>
        <w:rPr>
          <w:bCs/>
          <w:b/>
        </w:rPr>
        <w:t xml:space="preserve">II. ROCKY v AMPL (ALTERNATIVELY PIERRE)</w:t>
      </w:r>
    </w:p>
    <w:p>
      <w:pPr>
        <w:pStyle w:val="BodyText"/>
      </w:pPr>
      <w:r>
        <w:t xml:space="preserve">At the 8 April meeting, Pierre’s statement that he ‘expected’ Rocky to ensure Grace’s payments promised nothing, so it was a request rather than an offer;</w:t>
      </w:r>
      <w:r>
        <w:rPr>
          <w:rStyle w:val="FootnoteReference"/>
        </w:rPr>
        <w:footnoteReference w:id="38"/>
      </w:r>
      <w:r>
        <w:t xml:space="preserve"> </w:t>
      </w:r>
      <w:r>
        <w:t xml:space="preserve">Rocky’s reply, ‘I will do that if you also promise’, offered a promise for a promise,</w:t>
      </w:r>
      <w:r>
        <w:rPr>
          <w:rStyle w:val="FootnoteReference"/>
        </w:rPr>
        <w:footnoteReference w:id="39"/>
      </w:r>
      <w:r>
        <w:t xml:space="preserve"> </w:t>
      </w:r>
      <w:r>
        <w:t xml:space="preserve">which Pierre accepted when he ‘agreed’.</w:t>
      </w:r>
      <w:r>
        <w:rPr>
          <w:rStyle w:val="FootnoteReference"/>
        </w:rPr>
        <w:footnoteReference w:id="40"/>
      </w:r>
      <w:r>
        <w:t xml:space="preserve"> </w:t>
      </w:r>
      <w:r>
        <w:t xml:space="preserve">AMPL may argue that nothing bound until the Loan Agreement was signed; however, parties are bound ‘when, and in the manner in which, they intend’, as Lord Greene MR said of exchanged contracts,</w:t>
      </w:r>
      <w:r>
        <w:rPr>
          <w:rStyle w:val="FootnoteReference"/>
        </w:rPr>
        <w:footnoteReference w:id="41"/>
      </w:r>
      <w:r>
        <w:t xml:space="preserve"> </w:t>
      </w:r>
      <w:r>
        <w:t xml:space="preserve">and nothing suggests Rocky’s undertaking awaited a document he never signed, so a contract likely formed orally.</w:t>
      </w:r>
    </w:p>
    <w:p>
      <w:pPr>
        <w:pStyle w:val="BodyText"/>
      </w:pPr>
      <w:r>
        <w:t xml:space="preserve">Rocky’s ‘you’ points to Pierre, but Pierre controls AMPL and spoke at its office about its loan, so, objectively,</w:t>
      </w:r>
      <w:r>
        <w:rPr>
          <w:rStyle w:val="FootnoteReference"/>
        </w:rPr>
        <w:footnoteReference w:id="42"/>
      </w:r>
      <w:r>
        <w:t xml:space="preserve"> </w:t>
      </w:r>
      <w:r>
        <w:t xml:space="preserve">he likely contracted ‘as agent’ for AMPL;</w:t>
      </w:r>
      <w:r>
        <w:rPr>
          <w:rStyle w:val="FootnoteReference"/>
        </w:rPr>
        <w:footnoteReference w:id="43"/>
      </w:r>
      <w:r>
        <w:t xml:space="preserve"> </w:t>
      </w:r>
      <w:r>
        <w:t xml:space="preserve">further information on whose money was to pay the $10,000 would settle this; if Pierre promised personally, what follows runs against him.</w:t>
      </w:r>
    </w:p>
    <w:p>
      <w:pPr>
        <w:pStyle w:val="BodyText"/>
      </w:pPr>
      <w:r>
        <w:t xml:space="preserve">AMPL may invoke the existing legal duty rule, arguing that Rocky’s promise gave nothing beyond his guarantee.</w:t>
      </w:r>
      <w:r>
        <w:rPr>
          <w:rStyle w:val="FootnoteReference"/>
        </w:rPr>
        <w:footnoteReference w:id="44"/>
      </w:r>
      <w:r>
        <w:t xml:space="preserve"> </w:t>
      </w:r>
      <w:r>
        <w:t xml:space="preserve">However, the rule bites on a promise ‘made to the promisee under that contract’,</w:t>
      </w:r>
      <w:r>
        <w:rPr>
          <w:rStyle w:val="FootnoteReference"/>
        </w:rPr>
        <w:footnoteReference w:id="45"/>
      </w:r>
      <w:r>
        <w:t xml:space="preserve"> </w:t>
      </w:r>
      <w:r>
        <w:t xml:space="preserve">and none then existed: on 27 February Rocky only ‘asked’, and ‘Pierre agreed and the clause was included’ suggests the clause followed the bargain. Even if it came first, ensuring ‘all payments’ ‘promptly’ exceeds guaranteeing ‘repayment of the Loan’; and if Pierre promised, any duty was owed to AMPL, and ‘a pre-existing contractual obligation to a third party can be valid consideration’.</w:t>
      </w:r>
      <w:r>
        <w:rPr>
          <w:rStyle w:val="FootnoteReference"/>
        </w:rPr>
        <w:footnoteReference w:id="46"/>
      </w:r>
      <w:r>
        <w:t xml:space="preserve"> </w:t>
      </w:r>
      <w:r>
        <w:t xml:space="preserve">Rocky likely gave consideration.</w:t>
      </w:r>
    </w:p>
    <w:p>
      <w:pPr>
        <w:pStyle w:val="BodyText"/>
      </w:pPr>
      <w:r>
        <w:t xml:space="preserve">Although Pierre is Rocky’s cousin, family presumptions do ‘no more than invite attention to identifying the party who bears the onus of proof’,</w:t>
      </w:r>
      <w:r>
        <w:rPr>
          <w:rStyle w:val="FootnoteReference"/>
        </w:rPr>
        <w:footnoteReference w:id="47"/>
      </w:r>
      <w:r>
        <w:t xml:space="preserve"> </w:t>
      </w:r>
      <w:r>
        <w:t xml:space="preserve">here Rocky; a promise of a fixed sum, made at AMPL’s office as its loan was finalised, is ‘appropriately promissory in character’ and commercial.</w:t>
      </w:r>
      <w:r>
        <w:rPr>
          <w:rStyle w:val="FootnoteReference"/>
        </w:rPr>
        <w:footnoteReference w:id="48"/>
      </w:r>
      <w:r>
        <w:t xml:space="preserve"> </w:t>
      </w:r>
      <w:r>
        <w:t xml:space="preserve">Rocky could argue that his own undertaking, like a letter of comfort, was only a moral assurance; however, Rogers CJ saw ‘no relevant difference’ between a ‘practice to ensure’ repayment and a promise ‘to ensure’ it,</w:t>
      </w:r>
      <w:r>
        <w:rPr>
          <w:rStyle w:val="FootnoteReference"/>
        </w:rPr>
        <w:footnoteReference w:id="49"/>
      </w:r>
      <w:r>
        <w:t xml:space="preserve"> </w:t>
      </w:r>
      <w:r>
        <w:t xml:space="preserve">and Rocky’s ‘I will do that’ was given for a price, so intention likely exists on both sides.</w:t>
      </w:r>
    </w:p>
    <w:p>
      <w:pPr>
        <w:pStyle w:val="BodyText"/>
      </w:pPr>
      <w:r>
        <w:t xml:space="preserve">Rocky’s undertaking is not ‘so obscure’ as to be uncertain, because the Loan Agreement fixes the payments.</w:t>
      </w:r>
      <w:r>
        <w:rPr>
          <w:rStyle w:val="FootnoteReference"/>
        </w:rPr>
        <w:footnoteReference w:id="50"/>
      </w:r>
      <w:r>
        <w:t xml:space="preserve"> </w:t>
      </w:r>
      <w:r>
        <w:t xml:space="preserve">Objectively,</w:t>
      </w:r>
      <w:r>
        <w:rPr>
          <w:rStyle w:val="FootnoteReference"/>
        </w:rPr>
        <w:footnoteReference w:id="51"/>
      </w:r>
      <w:r>
        <w:t xml:space="preserve"> </w:t>
      </w:r>
      <w:r>
        <w:t xml:space="preserve">his ‘I will do that’, answering an expectation that he ‘ensure’ payment, contains no words of effort, so he likely promised that Grace would pay, not merely that he would try.</w:t>
      </w:r>
    </w:p>
    <w:p>
      <w:pPr>
        <w:pStyle w:val="BodyText"/>
      </w:pPr>
      <w:r>
        <w:t xml:space="preserve">Privity is no bar: the $10,000 was to be paid ‘to me directly’ for consideration Rocky himself gave, so he is the promisee and no ‘stranger to the consideration’.</w:t>
      </w:r>
      <w:r>
        <w:rPr>
          <w:rStyle w:val="FootnoteReference"/>
        </w:rPr>
        <w:footnoteReference w:id="52"/>
      </w:r>
      <w:r>
        <w:t xml:space="preserve"> </w:t>
      </w:r>
      <w:r>
        <w:t xml:space="preserve">‘The clause’ most naturally means the guarantee clause; even if it means the $10,000 term, AMPL remains bound by its oral promise.</w:t>
      </w:r>
    </w:p>
    <w:p>
      <w:pPr>
        <w:pStyle w:val="BodyText"/>
      </w:pPr>
      <w:r>
        <w:t xml:space="preserve">A guarantee was ‘provided by Rocky’, but whether by assent to the clause or only by his oral undertaking is open; only the parties to a contract are bound by it,</w:t>
      </w:r>
      <w:r>
        <w:rPr>
          <w:rStyle w:val="FootnoteReference"/>
        </w:rPr>
        <w:footnoteReference w:id="53"/>
      </w:r>
      <w:r>
        <w:t xml:space="preserve"> </w:t>
      </w:r>
      <w:r>
        <w:t xml:space="preserve">so AMPL must show assent. Silence while a clause is included is generally insufficient,</w:t>
      </w:r>
      <w:r>
        <w:rPr>
          <w:rStyle w:val="FootnoteReference"/>
        </w:rPr>
        <w:footnoteReference w:id="54"/>
      </w:r>
      <w:r>
        <w:t xml:space="preserve"> </w:t>
      </w:r>
      <w:r>
        <w:t xml:space="preserve">but, having ‘attended’ with a reasonable opportunity to object, Rocky arguably took the benefit of the $10,000 promise with knowledge of the clause;</w:t>
      </w:r>
      <w:r>
        <w:rPr>
          <w:rStyle w:val="FootnoteReference"/>
        </w:rPr>
        <w:footnoteReference w:id="55"/>
      </w:r>
      <w:r>
        <w:t xml:space="preserve"> </w:t>
      </w:r>
      <w:r>
        <w:t xml:space="preserve">he could answer that the $10,000 priced his own words, not the clause.</w:t>
      </w:r>
    </w:p>
    <w:p>
      <w:pPr>
        <w:pStyle w:val="BodyText"/>
      </w:pPr>
      <w:r>
        <w:t xml:space="preserve">AMPL must also show consideration moving from itself,</w:t>
      </w:r>
      <w:r>
        <w:rPr>
          <w:rStyle w:val="FootnoteReference"/>
        </w:rPr>
        <w:footnoteReference w:id="56"/>
      </w:r>
      <w:r>
        <w:t xml:space="preserve"> </w:t>
      </w:r>
      <w:r>
        <w:t xml:space="preserve">which its $10,000 promise, if it made one, supplies. If Pierre promised, AMPL’s earlier advance is past consideration,</w:t>
      </w:r>
      <w:r>
        <w:rPr>
          <w:rStyle w:val="FootnoteReference"/>
        </w:rPr>
        <w:footnoteReference w:id="57"/>
      </w:r>
      <w:r>
        <w:t xml:space="preserve"> </w:t>
      </w:r>
      <w:r>
        <w:t xml:space="preserve">counting only if done at Rocky’s request, understood to be ‘remunerated’, with payment ‘legally enforceable had it been promised in advance’;</w:t>
      </w:r>
      <w:r>
        <w:rPr>
          <w:rStyle w:val="FootnoteReference"/>
        </w:rPr>
        <w:footnoteReference w:id="58"/>
      </w:r>
      <w:r>
        <w:t xml:space="preserve"> </w:t>
      </w:r>
      <w:r>
        <w:t xml:space="preserve">Rocky ‘asked’, but nothing shows a guarantee was then contemplated. AMPL’s stronger answer is that it signed only after the clause was included, an act likely ‘really done in consideration of’ the guarantee,</w:t>
      </w:r>
      <w:r>
        <w:rPr>
          <w:rStyle w:val="FootnoteReference"/>
        </w:rPr>
        <w:footnoteReference w:id="59"/>
      </w:r>
      <w:r>
        <w:t xml:space="preserve"> </w:t>
      </w:r>
      <w:r>
        <w:t xml:space="preserve">so the guarantee is likely supported if Rocky assented.</w:t>
      </w:r>
    </w:p>
    <w:p>
      <w:pPr>
        <w:pStyle w:val="BodyText"/>
      </w:pPr>
      <w:r>
        <w:t xml:space="preserve">Whether AMPL’s 9 March 2025 call was premature depends on when the 12 months began. Post-contractual conduct, such as Grace’s interest payments from 8 April 2024 and his ‘I have until 8 April 2025’, cannot construe the term,</w:t>
      </w:r>
      <w:r>
        <w:rPr>
          <w:rStyle w:val="FootnoteReference"/>
        </w:rPr>
        <w:footnoteReference w:id="60"/>
      </w:r>
      <w:r>
        <w:t xml:space="preserve"> </w:t>
      </w:r>
      <w:r>
        <w:t xml:space="preserve">but, the term being arguably ambiguous, mutually known facts showing ‘the genesis of the transaction’ are admissible.</w:t>
      </w:r>
      <w:r>
        <w:rPr>
          <w:rStyle w:val="FootnoteReference"/>
        </w:rPr>
        <w:footnoteReference w:id="61"/>
      </w:r>
      <w:r>
        <w:t xml:space="preserve"> </w:t>
      </w:r>
      <w:r>
        <w:t xml:space="preserve">AMPL argues the term ran from its 27 February advance, since the agreement ‘recorded’ a loan already made; however, ‘recorded’ equally governs the 4% rate, which nothing shows was agreed before 8 April, and the genesis shows only when the money moved. The term therefore arguably ran from 8 April 2024, making the call premature unless the Loan Agreement dates it from the advance.</w:t>
      </w:r>
    </w:p>
    <w:p>
      <w:pPr>
        <w:pStyle w:val="BodyText"/>
      </w:pPr>
      <w:r>
        <w:t xml:space="preserve">Interest is shown paid only until 8 February 2025; further information is needed on whether the March 2025 instalment was paid, for if not, Rocky’s undertaking that Grace make ‘all payments’ ‘promptly’ is arguably already broken, whichever start date applies.</w:t>
      </w:r>
    </w:p>
    <w:p>
      <w:pPr>
        <w:pStyle w:val="BodyText"/>
      </w:pPr>
      <w:r>
        <w:t xml:space="preserve">The $10,000 is payable ‘once Grace repays the Loan’, a condition precedent to that obligation rather than to the contract,</w:t>
      </w:r>
      <w:r>
        <w:rPr>
          <w:rStyle w:val="FootnoteReference"/>
        </w:rPr>
        <w:footnoteReference w:id="62"/>
      </w:r>
      <w:r>
        <w:t xml:space="preserve"> </w:t>
      </w:r>
      <w:r>
        <w:t xml:space="preserve">so nothing is yet payable. Rocky could argue that, read commercially, his own payment satisfies the condition;</w:t>
      </w:r>
      <w:r>
        <w:rPr>
          <w:rStyle w:val="FootnoteReference"/>
        </w:rPr>
        <w:footnoteReference w:id="63"/>
      </w:r>
      <w:r>
        <w:t xml:space="preserve"> </w:t>
      </w:r>
      <w:r>
        <w:t xml:space="preserve">however, the words name Grace, and the $10,000 priced his promise that Grace would pay. Nor does AMPL breach its duty ‘to do everything necessary on [its] part’ to give Rocky the benefit of the contract,</w:t>
      </w:r>
      <w:r>
        <w:rPr>
          <w:rStyle w:val="FootnoteReference"/>
        </w:rPr>
        <w:footnoteReference w:id="64"/>
      </w:r>
      <w:r>
        <w:t xml:space="preserve"> </w:t>
      </w:r>
      <w:r>
        <w:t xml:space="preserve">since its call does not stop Grace repaying.</w:t>
      </w:r>
    </w:p>
    <w:p>
      <w:pPr>
        <w:pStyle w:val="BodyText"/>
      </w:pPr>
      <w:r>
        <w:t xml:space="preserve">Accordingly, if Rocky assented to the clause, he is liable for $1,150,000 once the Loan is due and unpaid: now, if the term ran from 27 February, or otherwise from 8 April 2025. If bound only by his oral undertaking, he faces damages for any payment Grace fails to make when due. His $10,000 claim against AMPL, or alternatively Pierre, likely stands, but it falls due only if Grace, who said he ‘might not pay at all’, repays.</w:t>
      </w:r>
    </w:p>
    <w:p>
      <w:pPr>
        <w:pStyle w:val="BodyText"/>
      </w:pPr>
      <w:r>
        <w:t xml:space="preserve">Word count: 1,600</w:t>
      </w:r>
    </w:p>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Gibson v Manchester City Council</w:t>
      </w:r>
      <w:r>
        <w:t xml:space="preserve"> </w:t>
      </w:r>
      <w:r>
        <w:t xml:space="preserve">[1979] 1 WLR 294, 298 (Lord Diplock) (‘</w:t>
      </w:r>
      <w:r>
        <w:rPr>
          <w:iCs/>
          <w:i/>
        </w:rPr>
        <w:t xml:space="preserve">Gibson</w:t>
      </w:r>
      <w:r>
        <w:t xml:space="preserve">’).</w:t>
      </w:r>
    </w:p>
  </w:footnote>
  <w:footnote w:id="21">
    <w:p>
      <w:pPr>
        <w:pStyle w:val="FootnoteText"/>
      </w:pPr>
      <w:r>
        <w:rPr>
          <w:rStyle w:val="FootnoteReference"/>
        </w:rPr>
        <w:footnoteRef/>
      </w:r>
      <w:r>
        <w:t xml:space="preserve"> </w:t>
      </w:r>
      <w:r>
        <w:t xml:space="preserve">Ibid.</w:t>
      </w:r>
    </w:p>
  </w:footnote>
  <w:footnote w:id="22">
    <w:p>
      <w:pPr>
        <w:pStyle w:val="FootnoteText"/>
      </w:pPr>
      <w:r>
        <w:rPr>
          <w:rStyle w:val="FootnoteReference"/>
        </w:rPr>
        <w:footnoteRef/>
      </w:r>
      <w:r>
        <w:t xml:space="preserve"> </w:t>
      </w:r>
      <w:r>
        <w:rPr>
          <w:iCs/>
          <w:i/>
        </w:rPr>
        <w:t xml:space="preserve">Empirnall Holdings Pty Ltd v Machon Paull Partners Pty Ltd</w:t>
      </w:r>
      <w:r>
        <w:t xml:space="preserve"> </w:t>
      </w:r>
      <w:r>
        <w:t xml:space="preserve">(1988) 14 NSWLR 523, 534 (McHugh JA) (‘</w:t>
      </w:r>
      <w:r>
        <w:rPr>
          <w:iCs/>
          <w:i/>
        </w:rPr>
        <w:t xml:space="preserve">Empirnall</w:t>
      </w:r>
      <w:r>
        <w:t xml:space="preserve">’).</w:t>
      </w:r>
    </w:p>
  </w:footnote>
  <w:footnote w:id="23">
    <w:p>
      <w:pPr>
        <w:pStyle w:val="FootnoteText"/>
      </w:pPr>
      <w:r>
        <w:rPr>
          <w:rStyle w:val="FootnoteReference"/>
        </w:rPr>
        <w:footnoteRef/>
      </w:r>
      <w:r>
        <w:t xml:space="preserve"> </w:t>
      </w:r>
      <w:r>
        <w:rPr>
          <w:iCs/>
          <w:i/>
        </w:rPr>
        <w:t xml:space="preserve">Australian Woollen Mills Pty Ltd v Commonwealth</w:t>
      </w:r>
      <w:r>
        <w:t xml:space="preserve"> </w:t>
      </w:r>
      <w:r>
        <w:t xml:space="preserve">(1954) 92 CLR 424, 457 (Dixon CJ, Williams, Webb, Fullagar and Kitto JJ) (‘</w:t>
      </w:r>
      <w:r>
        <w:rPr>
          <w:iCs/>
          <w:i/>
        </w:rPr>
        <w:t xml:space="preserve">Australian Woollen Mills</w:t>
      </w:r>
      <w:r>
        <w:t xml:space="preserve">’).</w:t>
      </w:r>
    </w:p>
  </w:footnote>
  <w:footnote w:id="24">
    <w:p>
      <w:pPr>
        <w:pStyle w:val="FootnoteText"/>
      </w:pPr>
      <w:r>
        <w:rPr>
          <w:rStyle w:val="FootnoteReference"/>
        </w:rPr>
        <w:footnoteRef/>
      </w:r>
      <w:r>
        <w:t xml:space="preserve"> </w:t>
      </w:r>
      <w:r>
        <w:rPr>
          <w:iCs/>
          <w:i/>
        </w:rPr>
        <w:t xml:space="preserve">Ermogenous v Greek Orthodox Community of SA Inc</w:t>
      </w:r>
      <w:r>
        <w:t xml:space="preserve"> </w:t>
      </w:r>
      <w:r>
        <w:t xml:space="preserve">(2002) 209 CLR 95, [25]–[26] (Gaudron, McHugh, Hayne and Callinan JJ) (‘</w:t>
      </w:r>
      <w:r>
        <w:rPr>
          <w:iCs/>
          <w:i/>
        </w:rPr>
        <w:t xml:space="preserve">Ermogenous</w:t>
      </w:r>
      <w:r>
        <w:t xml:space="preserve">’).</w:t>
      </w:r>
    </w:p>
  </w:footnote>
  <w:footnote w:id="25">
    <w:p>
      <w:pPr>
        <w:pStyle w:val="FootnoteText"/>
      </w:pPr>
      <w:r>
        <w:rPr>
          <w:rStyle w:val="FootnoteReference"/>
        </w:rPr>
        <w:footnoteRef/>
      </w:r>
      <w:r>
        <w:t xml:space="preserve"> </w:t>
      </w:r>
      <w:r>
        <w:rPr>
          <w:iCs/>
          <w:i/>
        </w:rPr>
        <w:t xml:space="preserve">Masters v Cameron</w:t>
      </w:r>
      <w:r>
        <w:t xml:space="preserve"> </w:t>
      </w:r>
      <w:r>
        <w:t xml:space="preserve">(1954) 91 CLR 353, 361 (Dixon CJ, McTiernan and Kitto JJ).</w:t>
      </w:r>
    </w:p>
  </w:footnote>
  <w:footnote w:id="26">
    <w:p>
      <w:pPr>
        <w:pStyle w:val="FootnoteText"/>
      </w:pPr>
      <w:r>
        <w:rPr>
          <w:rStyle w:val="FootnoteReference"/>
        </w:rPr>
        <w:footnoteRef/>
      </w:r>
      <w:r>
        <w:t xml:space="preserve"> </w:t>
      </w:r>
      <w:r>
        <w:rPr>
          <w:iCs/>
          <w:i/>
        </w:rPr>
        <w:t xml:space="preserve">Godecke v Kirwan</w:t>
      </w:r>
      <w:r>
        <w:t xml:space="preserve"> </w:t>
      </w:r>
      <w:r>
        <w:t xml:space="preserve">(1973) 129 CLR 629, 642–3 (Walsh J) (‘</w:t>
      </w:r>
      <w:r>
        <w:rPr>
          <w:iCs/>
          <w:i/>
        </w:rPr>
        <w:t xml:space="preserve">Godecke</w:t>
      </w:r>
      <w:r>
        <w:t xml:space="preserve">’).</w:t>
      </w:r>
    </w:p>
  </w:footnote>
  <w:footnote w:id="27">
    <w:p>
      <w:pPr>
        <w:pStyle w:val="FootnoteText"/>
      </w:pPr>
      <w:r>
        <w:rPr>
          <w:rStyle w:val="FootnoteReference"/>
        </w:rPr>
        <w:footnoteRef/>
      </w:r>
      <w:r>
        <w:t xml:space="preserve"> </w:t>
      </w:r>
      <w:r>
        <w:rPr>
          <w:iCs/>
          <w:i/>
        </w:rPr>
        <w:t xml:space="preserve">Meehan v Jones</w:t>
      </w:r>
      <w:r>
        <w:t xml:space="preserve"> </w:t>
      </w:r>
      <w:r>
        <w:t xml:space="preserve">(1982) 149 CLR 571, 580–1 (Gibbs CJ) (‘</w:t>
      </w:r>
      <w:r>
        <w:rPr>
          <w:iCs/>
          <w:i/>
        </w:rPr>
        <w:t xml:space="preserve">Meehan</w:t>
      </w:r>
      <w:r>
        <w:t xml:space="preserve">’).</w:t>
      </w:r>
    </w:p>
  </w:footnote>
  <w:footnote w:id="28">
    <w:p>
      <w:pPr>
        <w:pStyle w:val="FootnoteText"/>
      </w:pPr>
      <w:r>
        <w:rPr>
          <w:rStyle w:val="FootnoteReference"/>
        </w:rPr>
        <w:footnoteRef/>
      </w:r>
      <w:r>
        <w:t xml:space="preserve"> </w:t>
      </w:r>
      <w:r>
        <w:rPr>
          <w:iCs/>
          <w:i/>
        </w:rPr>
        <w:t xml:space="preserve">Godecke</w:t>
      </w:r>
      <w:r>
        <w:t xml:space="preserve"> </w:t>
      </w:r>
      <w:r>
        <w:t xml:space="preserve">(n 7) 646–7 (Gibbs J).</w:t>
      </w:r>
    </w:p>
  </w:footnote>
  <w:footnote w:id="29">
    <w:p>
      <w:pPr>
        <w:pStyle w:val="FootnoteText"/>
      </w:pPr>
      <w:r>
        <w:rPr>
          <w:rStyle w:val="FootnoteReference"/>
        </w:rPr>
        <w:footnoteRef/>
      </w:r>
      <w:r>
        <w:t xml:space="preserve"> </w:t>
      </w:r>
      <w:r>
        <w:rPr>
          <w:iCs/>
          <w:i/>
        </w:rPr>
        <w:t xml:space="preserve">Placer Development Ltd v Commonwealth</w:t>
      </w:r>
      <w:r>
        <w:t xml:space="preserve"> </w:t>
      </w:r>
      <w:r>
        <w:t xml:space="preserve">(1969) 121 CLR 353, 361 (Taylor and Owen JJ).</w:t>
      </w:r>
    </w:p>
  </w:footnote>
  <w:footnote w:id="30">
    <w:p>
      <w:pPr>
        <w:pStyle w:val="FootnoteText"/>
      </w:pPr>
      <w:r>
        <w:rPr>
          <w:rStyle w:val="FootnoteReference"/>
        </w:rPr>
        <w:footnoteRef/>
      </w:r>
      <w:r>
        <w:t xml:space="preserve"> </w:t>
      </w:r>
      <w:r>
        <w:rPr>
          <w:iCs/>
          <w:i/>
        </w:rPr>
        <w:t xml:space="preserve">Meehan</w:t>
      </w:r>
      <w:r>
        <w:t xml:space="preserve"> </w:t>
      </w:r>
      <w:r>
        <w:t xml:space="preserve">(n 8) 581 (Gibbs CJ).</w:t>
      </w:r>
    </w:p>
  </w:footnote>
  <w:footnote w:id="31">
    <w:p>
      <w:pPr>
        <w:pStyle w:val="FootnoteText"/>
      </w:pPr>
      <w:r>
        <w:rPr>
          <w:rStyle w:val="FootnoteReference"/>
        </w:rPr>
        <w:footnoteRef/>
      </w:r>
      <w:r>
        <w:t xml:space="preserve"> </w:t>
      </w:r>
      <w:r>
        <w:t xml:space="preserve">Ibid 589 (Mason J).</w:t>
      </w:r>
    </w:p>
  </w:footnote>
  <w:footnote w:id="32">
    <w:p>
      <w:pPr>
        <w:pStyle w:val="FootnoteText"/>
      </w:pPr>
      <w:r>
        <w:rPr>
          <w:rStyle w:val="FootnoteReference"/>
        </w:rPr>
        <w:footnoteRef/>
      </w:r>
      <w:r>
        <w:t xml:space="preserve"> </w:t>
      </w:r>
      <w:r>
        <w:t xml:space="preserve">Ibid 581 (Gibbs CJ).</w:t>
      </w:r>
    </w:p>
  </w:footnote>
  <w:footnote w:id="33">
    <w:p>
      <w:pPr>
        <w:pStyle w:val="FootnoteText"/>
      </w:pPr>
      <w:r>
        <w:rPr>
          <w:rStyle w:val="FootnoteReference"/>
        </w:rPr>
        <w:footnoteRef/>
      </w:r>
      <w:r>
        <w:t xml:space="preserve"> </w:t>
      </w:r>
      <w:r>
        <w:rPr>
          <w:iCs/>
          <w:i/>
        </w:rPr>
        <w:t xml:space="preserve">Trident General Insurance Co Ltd v McNiece Bros Pty Ltd</w:t>
      </w:r>
      <w:r>
        <w:t xml:space="preserve"> </w:t>
      </w:r>
      <w:r>
        <w:t xml:space="preserve">(1988) 165 CLR 107, 145 (Deane J) (‘</w:t>
      </w:r>
      <w:r>
        <w:rPr>
          <w:iCs/>
          <w:i/>
        </w:rPr>
        <w:t xml:space="preserve">Trident</w:t>
      </w:r>
      <w:r>
        <w:t xml:space="preserve">’).</w:t>
      </w:r>
    </w:p>
  </w:footnote>
  <w:footnote w:id="34">
    <w:p>
      <w:pPr>
        <w:pStyle w:val="FootnoteText"/>
      </w:pPr>
      <w:r>
        <w:rPr>
          <w:rStyle w:val="FootnoteReference"/>
        </w:rPr>
        <w:footnoteRef/>
      </w:r>
      <w:r>
        <w:t xml:space="preserve"> </w:t>
      </w:r>
      <w:r>
        <w:t xml:space="preserve">Ibid 115 (Mason CJ and Wilson J).</w:t>
      </w:r>
    </w:p>
  </w:footnote>
  <w:footnote w:id="35">
    <w:p>
      <w:pPr>
        <w:pStyle w:val="FootnoteText"/>
      </w:pPr>
      <w:r>
        <w:rPr>
          <w:rStyle w:val="FootnoteReference"/>
        </w:rPr>
        <w:footnoteRef/>
      </w:r>
      <w:r>
        <w:t xml:space="preserve"> </w:t>
      </w:r>
      <w:r>
        <w:rPr>
          <w:iCs/>
          <w:i/>
        </w:rPr>
        <w:t xml:space="preserve">Coulls v Bagot’s Executor and Trustee Co Ltd</w:t>
      </w:r>
      <w:r>
        <w:t xml:space="preserve"> </w:t>
      </w:r>
      <w:r>
        <w:t xml:space="preserve">(1967) 119 CLR 460, 487 (Taylor and Owen JJ) (‘</w:t>
      </w:r>
      <w:r>
        <w:rPr>
          <w:iCs/>
          <w:i/>
        </w:rPr>
        <w:t xml:space="preserve">Coulls</w:t>
      </w:r>
      <w:r>
        <w:t xml:space="preserve">’).</w:t>
      </w:r>
    </w:p>
  </w:footnote>
  <w:footnote w:id="36">
    <w:p>
      <w:pPr>
        <w:pStyle w:val="FootnoteText"/>
      </w:pPr>
      <w:r>
        <w:rPr>
          <w:rStyle w:val="FootnoteReference"/>
        </w:rPr>
        <w:footnoteRef/>
      </w:r>
      <w:r>
        <w:t xml:space="preserve"> </w:t>
      </w:r>
      <w:r>
        <w:t xml:space="preserve">Ibid 486 (Taylor and Owen JJ).</w:t>
      </w:r>
    </w:p>
  </w:footnote>
  <w:footnote w:id="37">
    <w:p>
      <w:pPr>
        <w:pStyle w:val="FootnoteText"/>
      </w:pPr>
      <w:r>
        <w:rPr>
          <w:rStyle w:val="FootnoteReference"/>
        </w:rPr>
        <w:footnoteRef/>
      </w:r>
      <w:r>
        <w:t xml:space="preserve"> </w:t>
      </w:r>
      <w:r>
        <w:t xml:space="preserve">Ibid 487 (Taylor and Owen JJ).</w:t>
      </w:r>
    </w:p>
  </w:footnote>
  <w:footnote w:id="38">
    <w:p>
      <w:pPr>
        <w:pStyle w:val="FootnoteText"/>
      </w:pPr>
      <w:r>
        <w:rPr>
          <w:rStyle w:val="FootnoteReference"/>
        </w:rPr>
        <w:footnoteRef/>
      </w:r>
      <w:r>
        <w:t xml:space="preserve"> </w:t>
      </w:r>
      <w:r>
        <w:rPr>
          <w:iCs/>
          <w:i/>
        </w:rPr>
        <w:t xml:space="preserve">Gibson</w:t>
      </w:r>
      <w:r>
        <w:t xml:space="preserve"> </w:t>
      </w:r>
      <w:r>
        <w:t xml:space="preserve">(n 1) 298 (Lord Diplock).</w:t>
      </w:r>
    </w:p>
  </w:footnote>
  <w:footnote w:id="39">
    <w:p>
      <w:pPr>
        <w:pStyle w:val="FootnoteText"/>
      </w:pPr>
      <w:r>
        <w:rPr>
          <w:rStyle w:val="FootnoteReference"/>
        </w:rPr>
        <w:footnoteRef/>
      </w:r>
      <w:r>
        <w:t xml:space="preserve"> </w:t>
      </w:r>
      <w:r>
        <w:rPr>
          <w:iCs/>
          <w:i/>
        </w:rPr>
        <w:t xml:space="preserve">Brambles Holdings Ltd v Bathurst City Council</w:t>
      </w:r>
      <w:r>
        <w:t xml:space="preserve"> </w:t>
      </w:r>
      <w:r>
        <w:t xml:space="preserve">(2001) 53 NSWLR 153, 177 (Heydon JA), quoting</w:t>
      </w:r>
      <w:r>
        <w:t xml:space="preserve"> </w:t>
      </w:r>
      <w:r>
        <w:rPr>
          <w:iCs/>
          <w:i/>
        </w:rPr>
        <w:t xml:space="preserve">Integrated Computer Services Pty Ltd v Digital Equipment Corp (Aust) Pty Ltd</w:t>
      </w:r>
      <w:r>
        <w:t xml:space="preserve"> </w:t>
      </w:r>
      <w:r>
        <w:t xml:space="preserve">(1988) 5 BPR 11,110, 11,117–18 (McHugh JA) (‘</w:t>
      </w:r>
      <w:r>
        <w:rPr>
          <w:iCs/>
          <w:i/>
        </w:rPr>
        <w:t xml:space="preserve">Brambles</w:t>
      </w:r>
      <w:r>
        <w:t xml:space="preserve">’).</w:t>
      </w:r>
    </w:p>
  </w:footnote>
  <w:footnote w:id="40">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41">
    <w:p>
      <w:pPr>
        <w:pStyle w:val="FootnoteText"/>
      </w:pPr>
      <w:r>
        <w:rPr>
          <w:rStyle w:val="FootnoteReference"/>
        </w:rPr>
        <w:footnoteRef/>
      </w:r>
      <w:r>
        <w:t xml:space="preserve"> </w:t>
      </w:r>
      <w:r>
        <w:rPr>
          <w:iCs/>
          <w:i/>
        </w:rPr>
        <w:t xml:space="preserve">Brambles</w:t>
      </w:r>
      <w:r>
        <w:t xml:space="preserve"> </w:t>
      </w:r>
      <w:r>
        <w:t xml:space="preserve">(n 20) 176 (Heydon JA), quoting</w:t>
      </w:r>
      <w:r>
        <w:t xml:space="preserve"> </w:t>
      </w:r>
      <w:r>
        <w:rPr>
          <w:iCs/>
          <w:i/>
        </w:rPr>
        <w:t xml:space="preserve">Eccles v Bryant</w:t>
      </w:r>
      <w:r>
        <w:t xml:space="preserve"> </w:t>
      </w:r>
      <w:r>
        <w:t xml:space="preserve">[1948] Ch 93, 104 (Lord Greene MR).</w:t>
      </w:r>
    </w:p>
  </w:footnote>
  <w:footnote w:id="42">
    <w:p>
      <w:pPr>
        <w:pStyle w:val="FootnoteText"/>
      </w:pPr>
      <w:r>
        <w:rPr>
          <w:rStyle w:val="FootnoteReference"/>
        </w:rPr>
        <w:footnoteRef/>
      </w:r>
      <w:r>
        <w:t xml:space="preserve"> </w:t>
      </w:r>
      <w:r>
        <w:rPr>
          <w:iCs/>
          <w:i/>
        </w:rPr>
        <w:t xml:space="preserve">Ermogenous</w:t>
      </w:r>
      <w:r>
        <w:t xml:space="preserve"> </w:t>
      </w:r>
      <w:r>
        <w:t xml:space="preserve">(n 5) [25] (Gaudron, McHugh, Hayne and Callinan JJ).</w:t>
      </w:r>
    </w:p>
  </w:footnote>
  <w:footnote w:id="43">
    <w:p>
      <w:pPr>
        <w:pStyle w:val="FootnoteText"/>
      </w:pPr>
      <w:r>
        <w:rPr>
          <w:rStyle w:val="FootnoteReference"/>
        </w:rPr>
        <w:footnoteRef/>
      </w:r>
      <w:r>
        <w:t xml:space="preserve"> </w:t>
      </w:r>
      <w:r>
        <w:rPr>
          <w:iCs/>
          <w:i/>
        </w:rPr>
        <w:t xml:space="preserve">Trident</w:t>
      </w:r>
      <w:r>
        <w:t xml:space="preserve"> </w:t>
      </w:r>
      <w:r>
        <w:t xml:space="preserve">(n 14) 145 (Deane J).</w:t>
      </w:r>
    </w:p>
  </w:footnote>
  <w:footnote w:id="44">
    <w:p>
      <w:pPr>
        <w:pStyle w:val="FootnoteText"/>
      </w:pPr>
      <w:r>
        <w:rPr>
          <w:rStyle w:val="FootnoteReference"/>
        </w:rPr>
        <w:footnoteRef/>
      </w:r>
      <w:r>
        <w:t xml:space="preserve"> </w:t>
      </w:r>
      <w:r>
        <w:rPr>
          <w:iCs/>
          <w:i/>
        </w:rPr>
        <w:t xml:space="preserve">TA</w:t>
      </w:r>
      <w:r>
        <w:rPr>
          <w:iCs/>
          <w:i/>
        </w:rPr>
        <w:t xml:space="preserve"> </w:t>
      </w:r>
      <w:r>
        <w:t xml:space="preserve">Sundell* &amp; Sons Pty Ltd v Emm Yannoulatos (Overseas) Pty Ltd* (1955) 56 SR (NSW) 323, 327.</w:t>
      </w:r>
    </w:p>
  </w:footnote>
  <w:footnote w:id="45">
    <w:p>
      <w:pPr>
        <w:pStyle w:val="FootnoteText"/>
      </w:pPr>
      <w:r>
        <w:rPr>
          <w:rStyle w:val="FootnoteReference"/>
        </w:rPr>
        <w:footnoteRef/>
      </w:r>
      <w:r>
        <w:t xml:space="preserve"> </w:t>
      </w:r>
      <w:r>
        <w:rPr>
          <w:iCs/>
          <w:i/>
        </w:rPr>
        <w:t xml:space="preserve">Wigan v Edwards</w:t>
      </w:r>
      <w:r>
        <w:t xml:space="preserve"> </w:t>
      </w:r>
      <w:r>
        <w:t xml:space="preserve">(1973) 47 ALJR 586, 594 (Mason J).</w:t>
      </w:r>
    </w:p>
  </w:footnote>
  <w:footnote w:id="46">
    <w:p>
      <w:pPr>
        <w:pStyle w:val="FootnoteText"/>
      </w:pPr>
      <w:r>
        <w:rPr>
          <w:rStyle w:val="FootnoteReference"/>
        </w:rPr>
        <w:footnoteRef/>
      </w:r>
      <w:r>
        <w:t xml:space="preserve"> </w:t>
      </w:r>
      <w:r>
        <w:rPr>
          <w:iCs/>
          <w:i/>
        </w:rPr>
        <w:t xml:space="preserve">Pao On v Lau Yiu Long</w:t>
      </w:r>
      <w:r>
        <w:t xml:space="preserve"> </w:t>
      </w:r>
      <w:r>
        <w:t xml:space="preserve">[1980] AC 614, 632 (Lord Scarman) (‘</w:t>
      </w:r>
      <w:r>
        <w:rPr>
          <w:iCs/>
          <w:i/>
        </w:rPr>
        <w:t xml:space="preserve">Pao On</w:t>
      </w:r>
      <w:r>
        <w:t xml:space="preserve">’).</w:t>
      </w:r>
    </w:p>
  </w:footnote>
  <w:footnote w:id="47">
    <w:p>
      <w:pPr>
        <w:pStyle w:val="FootnoteText"/>
      </w:pPr>
      <w:r>
        <w:rPr>
          <w:rStyle w:val="FootnoteReference"/>
        </w:rPr>
        <w:footnoteRef/>
      </w:r>
      <w:r>
        <w:t xml:space="preserve"> </w:t>
      </w:r>
      <w:r>
        <w:rPr>
          <w:iCs/>
          <w:i/>
        </w:rPr>
        <w:t xml:space="preserve">Ermogenous</w:t>
      </w:r>
      <w:r>
        <w:t xml:space="preserve"> </w:t>
      </w:r>
      <w:r>
        <w:t xml:space="preserve">(n 5) [26] (Gaudron, McHugh, Hayne and Callinan JJ).</w:t>
      </w:r>
    </w:p>
  </w:footnote>
  <w:footnote w:id="48">
    <w:p>
      <w:pPr>
        <w:pStyle w:val="FootnoteText"/>
      </w:pPr>
      <w:r>
        <w:rPr>
          <w:rStyle w:val="FootnoteReference"/>
        </w:rPr>
        <w:footnoteRef/>
      </w:r>
      <w:r>
        <w:t xml:space="preserve"> </w:t>
      </w:r>
      <w:r>
        <w:rPr>
          <w:iCs/>
          <w:i/>
        </w:rPr>
        <w:t xml:space="preserve">Banque Brussels Lambert SA v Australian National Industries Ltd</w:t>
      </w:r>
      <w:r>
        <w:t xml:space="preserve"> </w:t>
      </w:r>
      <w:r>
        <w:t xml:space="preserve">(1989) 21 NSWLR 502, 523 (Rogers CJ).</w:t>
      </w:r>
    </w:p>
  </w:footnote>
  <w:footnote w:id="49">
    <w:p>
      <w:pPr>
        <w:pStyle w:val="FootnoteText"/>
      </w:pPr>
      <w:r>
        <w:rPr>
          <w:rStyle w:val="FootnoteReference"/>
        </w:rPr>
        <w:footnoteRef/>
      </w:r>
      <w:r>
        <w:t xml:space="preserve"> </w:t>
      </w:r>
      <w:r>
        <w:t xml:space="preserve">Ibid 525 (Rogers CJ).</w:t>
      </w:r>
    </w:p>
  </w:footnote>
  <w:footnote w:id="50">
    <w:p>
      <w:pPr>
        <w:pStyle w:val="FootnoteText"/>
      </w:pPr>
      <w:r>
        <w:rPr>
          <w:rStyle w:val="FootnoteReference"/>
        </w:rPr>
        <w:footnoteRef/>
      </w:r>
      <w:r>
        <w:t xml:space="preserve"> </w:t>
      </w:r>
      <w:r>
        <w:rPr>
          <w:iCs/>
          <w:i/>
        </w:rPr>
        <w:t xml:space="preserve">Council of the</w:t>
      </w:r>
      <w:r>
        <w:rPr>
          <w:iCs/>
          <w:i/>
        </w:rPr>
        <w:t xml:space="preserve"> </w:t>
      </w:r>
      <w:r>
        <w:t xml:space="preserve">Upper Hunter* County District v Australian Chilling and Freezing Co Ltd* (1968) 118 CLR 429, 437 (Barwick CJ), quoting</w:t>
      </w:r>
      <w:r>
        <w:t xml:space="preserve"> </w:t>
      </w:r>
      <w:r>
        <w:rPr>
          <w:iCs/>
          <w:i/>
        </w:rPr>
        <w:t xml:space="preserve">G Scammell and Nephew Ltd v Ouston</w:t>
      </w:r>
      <w:r>
        <w:t xml:space="preserve"> </w:t>
      </w:r>
      <w:r>
        <w:t xml:space="preserve">[1941] AC 251, 268 (Lord Wright) (‘</w:t>
      </w:r>
      <w:r>
        <w:rPr>
          <w:iCs/>
          <w:i/>
        </w:rPr>
        <w:t xml:space="preserve">Upper Hunter</w:t>
      </w:r>
      <w:r>
        <w:t xml:space="preserve">’).</w:t>
      </w:r>
    </w:p>
  </w:footnote>
  <w:footnote w:id="51">
    <w:p>
      <w:pPr>
        <w:pStyle w:val="FootnoteText"/>
      </w:pPr>
      <w:r>
        <w:rPr>
          <w:rStyle w:val="FootnoteReference"/>
        </w:rPr>
        <w:footnoteRef/>
      </w:r>
      <w:r>
        <w:t xml:space="preserve"> </w:t>
      </w:r>
      <w:r>
        <w:rPr>
          <w:iCs/>
          <w:i/>
        </w:rPr>
        <w:t xml:space="preserve">Ermogenous</w:t>
      </w:r>
      <w:r>
        <w:t xml:space="preserve"> </w:t>
      </w:r>
      <w:r>
        <w:t xml:space="preserve">(n 5) [25] (Gaudron, McHugh, Hayne and Callinan JJ).</w:t>
      </w:r>
    </w:p>
  </w:footnote>
  <w:footnote w:id="52">
    <w:p>
      <w:pPr>
        <w:pStyle w:val="FootnoteText"/>
      </w:pPr>
      <w:r>
        <w:rPr>
          <w:rStyle w:val="FootnoteReference"/>
        </w:rPr>
        <w:footnoteRef/>
      </w:r>
      <w:r>
        <w:t xml:space="preserve"> </w:t>
      </w:r>
      <w:r>
        <w:rPr>
          <w:iCs/>
          <w:i/>
        </w:rPr>
        <w:t xml:space="preserve">Trident</w:t>
      </w:r>
      <w:r>
        <w:t xml:space="preserve"> </w:t>
      </w:r>
      <w:r>
        <w:t xml:space="preserve">(n 14) 115 (Mason CJ and Wilson J).</w:t>
      </w:r>
    </w:p>
  </w:footnote>
  <w:footnote w:id="53">
    <w:p>
      <w:pPr>
        <w:pStyle w:val="FootnoteText"/>
      </w:pPr>
      <w:r>
        <w:rPr>
          <w:rStyle w:val="FootnoteReference"/>
        </w:rPr>
        <w:footnoteRef/>
      </w:r>
      <w:r>
        <w:t xml:space="preserve"> </w:t>
      </w:r>
      <w:r>
        <w:rPr>
          <w:iCs/>
          <w:i/>
        </w:rPr>
        <w:t xml:space="preserve">Trident</w:t>
      </w:r>
      <w:r>
        <w:t xml:space="preserve"> </w:t>
      </w:r>
      <w:r>
        <w:t xml:space="preserve">(n 14) (Deane J).</w:t>
      </w:r>
    </w:p>
  </w:footnote>
  <w:footnote w:id="54">
    <w:p>
      <w:pPr>
        <w:pStyle w:val="FootnoteText"/>
      </w:pPr>
      <w:r>
        <w:rPr>
          <w:rStyle w:val="FootnoteReference"/>
        </w:rPr>
        <w:footnoteRef/>
      </w:r>
      <w:r>
        <w:t xml:space="preserve"> </w:t>
      </w:r>
      <w:r>
        <w:rPr>
          <w:iCs/>
          <w:i/>
        </w:rPr>
        <w:t xml:space="preserve">Empirnall</w:t>
      </w:r>
      <w:r>
        <w:t xml:space="preserve"> </w:t>
      </w:r>
      <w:r>
        <w:t xml:space="preserve">(n 3) 534 (McHugh JA).</w:t>
      </w:r>
    </w:p>
  </w:footnote>
  <w:footnote w:id="55">
    <w:p>
      <w:pPr>
        <w:pStyle w:val="FootnoteText"/>
      </w:pPr>
      <w:r>
        <w:rPr>
          <w:rStyle w:val="FootnoteReference"/>
        </w:rPr>
        <w:footnoteRef/>
      </w:r>
      <w:r>
        <w:t xml:space="preserve"> </w:t>
      </w:r>
      <w:r>
        <w:t xml:space="preserve">Ibid 535–6 (McHugh JA).</w:t>
      </w:r>
    </w:p>
  </w:footnote>
  <w:footnote w:id="56">
    <w:p>
      <w:pPr>
        <w:pStyle w:val="FootnoteText"/>
      </w:pPr>
      <w:r>
        <w:rPr>
          <w:rStyle w:val="FootnoteReference"/>
        </w:rPr>
        <w:footnoteRef/>
      </w:r>
      <w:r>
        <w:t xml:space="preserve"> </w:t>
      </w:r>
      <w:r>
        <w:rPr>
          <w:iCs/>
          <w:i/>
        </w:rPr>
        <w:t xml:space="preserve">Trident</w:t>
      </w:r>
      <w:r>
        <w:t xml:space="preserve"> </w:t>
      </w:r>
      <w:r>
        <w:t xml:space="preserve">(n 14) 115 (Mason CJ and Wilson J).</w:t>
      </w:r>
    </w:p>
  </w:footnote>
  <w:footnote w:id="57">
    <w:p>
      <w:pPr>
        <w:pStyle w:val="FootnoteText"/>
      </w:pPr>
      <w:r>
        <w:rPr>
          <w:rStyle w:val="FootnoteReference"/>
        </w:rPr>
        <w:footnoteRef/>
      </w:r>
      <w:r>
        <w:t xml:space="preserve"> </w:t>
      </w:r>
      <w:r>
        <w:rPr>
          <w:iCs/>
          <w:i/>
        </w:rPr>
        <w:t xml:space="preserve">Roscorla v Thomas</w:t>
      </w:r>
      <w:r>
        <w:t xml:space="preserve"> </w:t>
      </w:r>
      <w:r>
        <w:t xml:space="preserve">(1842) 3 QB 234, 237; 114 ER 496 (Lord Denman CJ).</w:t>
      </w:r>
    </w:p>
  </w:footnote>
  <w:footnote w:id="58">
    <w:p>
      <w:pPr>
        <w:pStyle w:val="FootnoteText"/>
      </w:pPr>
      <w:r>
        <w:rPr>
          <w:rStyle w:val="FootnoteReference"/>
        </w:rPr>
        <w:footnoteRef/>
      </w:r>
      <w:r>
        <w:t xml:space="preserve"> </w:t>
      </w:r>
      <w:r>
        <w:rPr>
          <w:iCs/>
          <w:i/>
        </w:rPr>
        <w:t xml:space="preserve">Pao On</w:t>
      </w:r>
      <w:r>
        <w:t xml:space="preserve"> </w:t>
      </w:r>
      <w:r>
        <w:t xml:space="preserve">(n 27) 629 (Lord Scarman).</w:t>
      </w:r>
    </w:p>
  </w:footnote>
  <w:footnote w:id="59">
    <w:p>
      <w:pPr>
        <w:pStyle w:val="FootnoteText"/>
      </w:pPr>
      <w:r>
        <w:rPr>
          <w:rStyle w:val="FootnoteReference"/>
        </w:rPr>
        <w:footnoteRef/>
      </w:r>
      <w:r>
        <w:t xml:space="preserve"> </w:t>
      </w:r>
      <w:r>
        <w:rPr>
          <w:iCs/>
          <w:i/>
        </w:rPr>
        <w:t xml:space="preserve">Australian Woollen Mills</w:t>
      </w:r>
      <w:r>
        <w:t xml:space="preserve"> </w:t>
      </w:r>
      <w:r>
        <w:t xml:space="preserve">(n 4) 456 (Dixon CJ, Williams, Webb, Fullagar and Kitto JJ).</w:t>
      </w:r>
    </w:p>
  </w:footnote>
  <w:footnote w:id="60">
    <w:p>
      <w:pPr>
        <w:pStyle w:val="FootnoteText"/>
      </w:pPr>
      <w:r>
        <w:rPr>
          <w:rStyle w:val="FootnoteReference"/>
        </w:rPr>
        <w:footnoteRef/>
      </w:r>
      <w:r>
        <w:t xml:space="preserve"> </w:t>
      </w:r>
      <w:r>
        <w:rPr>
          <w:iCs/>
          <w:i/>
        </w:rPr>
        <w:t xml:space="preserve">Brambles</w:t>
      </w:r>
      <w:r>
        <w:t xml:space="preserve"> </w:t>
      </w:r>
      <w:r>
        <w:t xml:space="preserve">(n 20) 164 (Heydon JA).</w:t>
      </w:r>
    </w:p>
  </w:footnote>
  <w:footnote w:id="61">
    <w:p>
      <w:pPr>
        <w:pStyle w:val="FootnoteText"/>
      </w:pPr>
      <w:r>
        <w:rPr>
          <w:rStyle w:val="FootnoteReference"/>
        </w:rPr>
        <w:footnoteRef/>
      </w:r>
      <w:r>
        <w:t xml:space="preserve"> </w:t>
      </w:r>
      <w:r>
        <w:t xml:space="preserve">Ibid 191 (Ipp AJA).</w:t>
      </w:r>
    </w:p>
  </w:footnote>
  <w:footnote w:id="62">
    <w:p>
      <w:pPr>
        <w:pStyle w:val="FootnoteText"/>
      </w:pPr>
      <w:r>
        <w:rPr>
          <w:rStyle w:val="FootnoteReference"/>
        </w:rPr>
        <w:footnoteRef/>
      </w:r>
      <w:r>
        <w:t xml:space="preserve"> </w:t>
      </w:r>
      <w:r>
        <w:rPr>
          <w:iCs/>
          <w:i/>
        </w:rPr>
        <w:t xml:space="preserve">Meehan</w:t>
      </w:r>
      <w:r>
        <w:t xml:space="preserve"> </w:t>
      </w:r>
      <w:r>
        <w:t xml:space="preserve">(n 8) 582 (Gibbs CJ).</w:t>
      </w:r>
    </w:p>
  </w:footnote>
  <w:footnote w:id="63">
    <w:p>
      <w:pPr>
        <w:pStyle w:val="FootnoteText"/>
      </w:pPr>
      <w:r>
        <w:rPr>
          <w:rStyle w:val="FootnoteReference"/>
        </w:rPr>
        <w:footnoteRef/>
      </w:r>
      <w:r>
        <w:t xml:space="preserve"> </w:t>
      </w:r>
      <w:r>
        <w:rPr>
          <w:iCs/>
          <w:i/>
        </w:rPr>
        <w:t xml:space="preserve">Upper Hunter</w:t>
      </w:r>
      <w:r>
        <w:t xml:space="preserve"> </w:t>
      </w:r>
      <w:r>
        <w:t xml:space="preserve">(n 31) 437 (Barwick CJ).</w:t>
      </w:r>
    </w:p>
  </w:footnote>
  <w:footnote w:id="64">
    <w:p>
      <w:pPr>
        <w:pStyle w:val="FootnoteText"/>
      </w:pPr>
      <w:r>
        <w:rPr>
          <w:rStyle w:val="FootnoteReference"/>
        </w:rPr>
        <w:footnoteRef/>
      </w:r>
      <w:r>
        <w:t xml:space="preserve"> </w:t>
      </w:r>
      <w:r>
        <w:rPr>
          <w:iCs/>
          <w:i/>
        </w:rPr>
        <w:t xml:space="preserve">Beaton v McDivitt</w:t>
      </w:r>
      <w:r>
        <w:t xml:space="preserve"> </w:t>
      </w:r>
      <w:r>
        <w:t xml:space="preserve">(1987) 13 NSWLR 162, 185 (McHugh JA dissenting), citing</w:t>
      </w:r>
      <w:r>
        <w:t xml:space="preserve"> </w:t>
      </w:r>
      <w:r>
        <w:rPr>
          <w:iCs/>
          <w:i/>
        </w:rPr>
        <w:t xml:space="preserve">Secured Income Real Estate (Aust) Ltd v St Martins Investments Pty Ltd</w:t>
      </w:r>
      <w:r>
        <w:t xml:space="preserve"> </w:t>
      </w:r>
      <w:r>
        <w:t xml:space="preserve">(1979) 144 CLR 596, 607 (Mason J).</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pPr>
      <w:spacing w:after="0" w:before="0" w:line="240" w:lineRule="auto"/>
    </w:pPr>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2026-10-13T13:50:49Z</dcterms:created>
  <dcterms:modified xsi:type="dcterms:W3CDTF">2026-10-13T13:50:49Z</dcterms:modified>
</cp:coreProperties>
</file>

<file path=docProps/custom.xml><?xml version="1.0" encoding="utf-8"?>
<Properties xmlns="http://schemas.openxmlformats.org/officeDocument/2006/custom-properties" xmlns:vt="http://schemas.openxmlformats.org/officeDocument/2006/docPropsVTypes"/>
</file>