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</w:p>
    <w:p>
      <w:pPr>
        <w:spacing w:line="240"/>
      </w:pPr>
    </w:p>
    <w:p>
      <w:pPr>
        <w:pStyle w:val="Heading1"/>
        <w:spacing w:after="200" w:before="400"/>
        <w:jc w:val="center"/>
      </w:pPr>
      <w:r>
        <w:t xml:space="preserve">AlltagsEngel GmbH</w:t>
      </w:r>
    </w:p>
    <w:p>
      <w:pPr>
        <w:spacing w:after="600"/>
        <w:jc w:val="center"/>
        <w:rPr>
          <w:rFonts w:ascii="Calibri" w:cs="Calibri" w:eastAsia="Calibri" w:hAnsi="Calibri"/>
          <w:color w:val="333333"/>
          <w:sz w:val="28"/>
          <w:szCs w:val="28"/>
        </w:rPr>
      </w:pPr>
      <w:r>
        <w:t xml:space="preserve">Mit Herz für dich da</w:t>
      </w:r>
    </w:p>
    <w:p>
      <w:pPr>
        <w:spacing w:after="600"/>
        <w:jc w:val="center"/>
        <w:rPr>
          <w:rFonts w:ascii="Calibri" w:cs="Calibri" w:eastAsia="Calibri" w:hAnsi="Calibri"/>
          <w:color w:val="C9963C"/>
          <w:sz w:val="14"/>
          <w:szCs w:val="14"/>
        </w:rPr>
      </w:pPr>
      <w:r>
        <w:t xml:space="preserve">─────────────────────────────</w:t>
      </w:r>
    </w:p>
    <w:p>
      <w:pPr>
        <w:spacing w:after="200"/>
        <w:jc w:val="center"/>
        <w:rPr>
          <w:rFonts w:ascii="Calibri" w:cs="Calibri" w:eastAsia="Calibri" w:hAnsi="Calibri"/>
          <w:b/>
          <w:bCs/>
          <w:color w:val="333333"/>
          <w:sz w:val="24"/>
          <w:szCs w:val="24"/>
        </w:rPr>
      </w:pPr>
      <w:r>
        <w:t xml:space="preserve">Company Overview</w:t>
      </w:r>
    </w:p>
    <w:p>
      <w:pPr>
        <w:spacing w:after="600"/>
        <w:jc w:val="center"/>
        <w:rPr>
          <w:rFonts w:ascii="Calibri" w:cs="Calibri" w:eastAsia="Calibri" w:hAnsi="Calibri"/>
          <w:color w:val="333333"/>
          <w:sz w:val="16"/>
          <w:szCs w:val="16"/>
        </w:rPr>
      </w:pPr>
      <w:r>
        <w:t xml:space="preserve">Investor Data Room</w:t>
      </w:r>
    </w:p>
    <w:p>
      <w:pPr>
        <w:spacing w:line="240"/>
      </w:pPr>
    </w:p>
    <w:p>
      <w:pPr>
        <w:spacing w:line="240"/>
      </w:pPr>
    </w:p>
    <w:p>
      <w:pPr>
        <w:spacing w:after="200" w:before="600"/>
        <w:jc w:val="center"/>
        <w:rPr>
          <w:rFonts w:ascii="Calibri" w:cs="Calibri" w:eastAsia="Calibri" w:hAnsi="Calibri"/>
          <w:b/>
          <w:bCs/>
          <w:color w:val="CC0000"/>
          <w:sz w:val="14"/>
          <w:szCs w:val="14"/>
        </w:rPr>
      </w:pPr>
      <w:r>
        <w:t xml:space="preserve">CONFIDENTIAL</w:t>
      </w:r>
    </w:p>
    <w:p>
      <w:pPr>
        <w:spacing w:after="400"/>
        <w:jc w:val="center"/>
        <w:rPr>
          <w:rFonts w:ascii="Calibri" w:cs="Calibri" w:eastAsia="Calibri" w:hAnsi="Calibri"/>
          <w:color w:val="333333"/>
          <w:sz w:val="10"/>
          <w:szCs w:val="10"/>
        </w:rPr>
      </w:pPr>
      <w:r>
        <w:t xml:space="preserve">This document contains proprietary and confidential information. Unauthorized disclosure is prohibited.</w:t>
      </w:r>
    </w:p>
    <w:p>
      <w:pPr>
        <w:spacing w:after="200"/>
        <w:jc w:val="center"/>
        <w:rPr>
          <w:rFonts w:ascii="Calibri" w:cs="Calibri" w:eastAsia="Calibri" w:hAnsi="Calibri"/>
          <w:color w:val="333333"/>
          <w:sz w:val="11"/>
          <w:szCs w:val="11"/>
        </w:rPr>
      </w:pPr>
      <w:r>
        <w:t xml:space="preserve">March 2, 2026</w:t>
      </w:r>
    </w:p>
    <w:r>
      <w:br w:type="page"/>
    </w:r>
    <w:p>
      <w:pPr>
        <w:pStyle w:val="Heading1"/>
        <w:spacing w:after="300" w:before="0"/>
      </w:pPr>
      <w:r>
        <w:t xml:space="preserve">Company Overview</w:t>
      </w:r>
    </w:p>
    <w:p>
      <w:pPr>
        <w:spacing w:after="300"/>
      </w:pPr>
      <w:r>
        <w:t xml:space="preserve">AlltagsEngel is a HealthTech platform that connects elderly and care-dependent individuals with certified daily companions across Germany. We bridge the critical gap in Germany's care system through innovative technology and human-centered service delivery.</w:t>
      </w:r>
    </w:p>
    <w:p>
      <w:pPr>
        <w:pStyle w:val="Heading2"/>
        <w:spacing w:after="200" w:before="200"/>
      </w:pPr>
      <w:r>
        <w:t xml:space="preserve">Company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Company Name</w:t>
            </w:r>
          </w:p>
        </w:tc>
        <w:tc>
          <w:tcPr>
            <w:tcW w:type="dxa" w:w="4000"/>
          </w:tcPr>
          <w:p>
            <w:r>
              <w:t xml:space="preserve">AlltagsEngel GmbH</w:t>
            </w:r>
          </w:p>
        </w:tc>
      </w:tr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Headquarters</w:t>
            </w:r>
          </w:p>
        </w:tc>
        <w:tc>
          <w:tcPr>
            <w:tcW w:type="dxa" w:w="4000"/>
          </w:tcPr>
          <w:p>
            <w:r>
              <w:t xml:space="preserve">Germany</w:t>
            </w:r>
          </w:p>
        </w:tc>
      </w:tr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Founded</w:t>
            </w:r>
          </w:p>
        </w:tc>
        <w:tc>
          <w:tcPr>
            <w:tcW w:type="dxa" w:w="4000"/>
          </w:tcPr>
          <w:p>
            <w:r>
              <w:t xml:space="preserve">2025</w:t>
            </w:r>
          </w:p>
        </w:tc>
      </w:tr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Industry</w:t>
            </w:r>
          </w:p>
        </w:tc>
        <w:tc>
          <w:tcPr>
            <w:tcW w:type="dxa" w:w="4000"/>
          </w:tcPr>
          <w:p>
            <w:r>
              <w:t xml:space="preserve">HealthTech / Elder Care</w:t>
            </w:r>
          </w:p>
        </w:tc>
      </w:tr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Stage</w:t>
            </w:r>
          </w:p>
        </w:tc>
        <w:tc>
          <w:tcPr>
            <w:tcW w:type="dxa" w:w="4000"/>
          </w:tcPr>
          <w:p>
            <w:r>
              <w:t xml:space="preserve">Pre-incorporation / MVP</w:t>
            </w:r>
          </w:p>
        </w:tc>
      </w:tr>
    </w:tbl>
    <w:p>
      <w:pPr>
        <w:spacing w:after="300"/>
      </w:pPr>
    </w:p>
    <w:p>
      <w:pPr>
        <w:pStyle w:val="Heading2"/>
        <w:spacing w:after="200" w:before="200"/>
      </w:pPr>
      <w:r>
        <w:t xml:space="preserve">What We Do</w:t>
      </w:r>
    </w:p>
    <w:p>
      <w:pPr>
        <w:spacing w:after="150"/>
      </w:pPr>
      <w:r>
        <w:t xml:space="preserve">AlltagsEngel operates a two-sided marketplace connecting: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Customers (Kunden) – Elderly and care-dependent individuals seeking daily companion services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Companions (Engel) – Certified daily care professionals offering flexible, compassionate support</w:t>
      </w:r>
    </w:p>
    <w:p>
      <w:pPr>
        <w:spacing w:after="400"/>
      </w:pPr>
      <w:r>
        <w:t xml:space="preserve">Our mobile platform enables seamless booking, secure payment integration, and quality management across the German care market.</w:t>
      </w:r>
    </w:p>
    <w:r>
      <w:br w:type="page"/>
    </w:r>
    <w:p>
      <w:pPr>
        <w:pStyle w:val="Heading1"/>
        <w:spacing w:after="300" w:before="0"/>
      </w:pPr>
      <w:r>
        <w:t xml:space="preserve">The Problem</w:t>
      </w:r>
    </w:p>
    <w:p>
      <w:pPr>
        <w:spacing w:after="300"/>
      </w:pPr>
      <w:r>
        <w:t xml:space="preserve">Germany faces a significant care crisis with critical market inefficiencies:</w:t>
      </w:r>
    </w:p>
    <w:p>
      <w:pPr>
        <w:pStyle w:val="Heading2"/>
        <w:spacing w:after="150" w:before="200"/>
      </w:pPr>
      <w:r>
        <w:t xml:space="preserve">Care Shortage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4.96 million care-dependent people (Pflegebedürftige) in Germany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Severe shortage of certified daily companions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Long waiting times for care services</w:t>
      </w:r>
    </w:p>
    <w:p>
      <w:pPr>
        <w:pStyle w:val="Heading2"/>
        <w:spacing w:after="150" w:before="200"/>
      </w:pPr>
      <w:r>
        <w:t xml:space="preserve">Unused §45b Relief Benefit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care-dependent person receives €125/month relief benefit (§45b SGB XI)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Many recipients cannot access services or struggle to find willing providers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Significant portion of monthly budgets remain unspent</w:t>
      </w:r>
    </w:p>
    <w:p>
      <w:pPr>
        <w:pStyle w:val="Heading2"/>
        <w:spacing w:after="150" w:before="200"/>
      </w:pPr>
      <w:r>
        <w:t xml:space="preserve">Fragmented Care Market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Companions lack centralized marketplace to find 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Customers face difficulty locating and vetting reliable companions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Payment and insurance processes are cumbersome and manual</w:t>
      </w:r>
    </w:p>
    <w:r>
      <w:br w:type="page"/>
    </w:r>
    <w:p>
      <w:pPr>
        <w:pStyle w:val="Heading1"/>
        <w:spacing w:after="300" w:before="0"/>
      </w:pPr>
      <w:r>
        <w:t xml:space="preserve">Our Solution</w:t>
      </w:r>
    </w:p>
    <w:p>
      <w:pPr>
        <w:pStyle w:val="Heading2"/>
        <w:spacing w:after="200" w:before="200"/>
      </w:pPr>
      <w:r>
        <w:t xml:space="preserve">AlltagsEngel Platform Features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Two-Sided Marketplace</w:t>
      </w:r>
    </w:p>
    <w:p>
      <w:pPr>
        <w:pStyle w:val="ListParagraph"/>
        <w:numPr>
          <w:ilvl w:val="1"/>
          <w:numId w:val="1"/>
        </w:numPr>
        <w:spacing w:after="150"/>
      </w:pPr>
      <w:r>
        <w:t xml:space="preserve">Seamless matching between customers and certified companions via intelligent algorithm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§45b Billing Integration</w:t>
      </w:r>
    </w:p>
    <w:p>
      <w:pPr>
        <w:pStyle w:val="ListParagraph"/>
        <w:numPr>
          <w:ilvl w:val="1"/>
          <w:numId w:val="1"/>
        </w:numPr>
        <w:spacing w:after="150"/>
      </w:pPr>
      <w:r>
        <w:t xml:space="preserve">Direct integration with care insurance systems enabling automatic €125/month benefit utilization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Quality Assurance</w:t>
      </w:r>
    </w:p>
    <w:p>
      <w:pPr>
        <w:pStyle w:val="ListParagraph"/>
        <w:numPr>
          <w:ilvl w:val="1"/>
          <w:numId w:val="1"/>
        </w:numPr>
        <w:spacing w:after="150"/>
      </w:pPr>
      <w:r>
        <w:t xml:space="preserve">100% insured companions with background checks and certification verification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24/7 Support</w:t>
      </w:r>
    </w:p>
    <w:p>
      <w:pPr>
        <w:pStyle w:val="ListParagraph"/>
        <w:numPr>
          <w:ilvl w:val="1"/>
          <w:numId w:val="1"/>
        </w:numPr>
        <w:spacing w:after="150"/>
      </w:pPr>
      <w:r>
        <w:t xml:space="preserve">Round-the-clock customer support and emergency booking capabilities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Mobile-First Design</w:t>
      </w:r>
    </w:p>
    <w:p>
      <w:pPr>
        <w:pStyle w:val="ListParagraph"/>
        <w:numPr>
          <w:ilvl w:val="1"/>
          <w:numId w:val="1"/>
        </w:numPr>
        <w:spacing w:after="300"/>
      </w:pPr>
      <w:r>
        <w:t xml:space="preserve">React Native (Expo) platform optimized for elderly users and companion flexibility</w:t>
      </w:r>
    </w:p>
    <w:p>
      <w:pPr>
        <w:pStyle w:val="Heading2"/>
        <w:spacing w:after="200" w:before="200"/>
      </w:pPr>
      <w:r>
        <w:t xml:space="preserve">Key Value Propositions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For Customers: Access to vetted, insured companions with one-click booking and subsidized payments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For Companions: Flexible work opportunities with built-in insurance protection and secure payments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For Payers: Improved §45b budget utilization and compliance tracking</w:t>
      </w:r>
    </w:p>
    <w:r>
      <w:br w:type="page"/>
    </w:r>
    <w:p>
      <w:pPr>
        <w:pStyle w:val="Heading1"/>
        <w:spacing w:after="300" w:before="0"/>
      </w:pPr>
      <w:r>
        <w:t xml:space="preserve">Market Opportunity</w:t>
      </w:r>
    </w:p>
    <w:p>
      <w:pPr>
        <w:pStyle w:val="Heading2"/>
        <w:spacing w:after="300" w:before="200"/>
      </w:pPr>
      <w:r>
        <w:t xml:space="preserve">Germany's Elder Care Market – Significant Growth Potential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C9963C"/>
          </w:tcPr>
          <w:p>
            <w:pPr>
              <w:rPr>
                <w:b/>
                <w:bCs/>
                <w:color w:val="FFFFFF"/>
              </w:rPr>
            </w:pPr>
            <w:r>
              <w:t xml:space="preserve">Metric</w:t>
            </w:r>
          </w:p>
        </w:tc>
        <w:tc>
          <w:tcPr>
            <w:tcW w:type="dxa" w:w="2500"/>
            <w:shd w:fill="C9963C"/>
          </w:tcPr>
          <w:p>
            <w:pPr>
              <w:rPr>
                <w:b/>
                <w:bCs/>
                <w:color w:val="FFFFFF"/>
              </w:rPr>
            </w:pPr>
            <w:r>
              <w:t xml:space="preserve">Value</w:t>
            </w:r>
          </w:p>
        </w:tc>
        <w:tc>
          <w:tcPr>
            <w:tcW w:type="dxa" w:w="2000"/>
            <w:shd w:fill="C9963C"/>
          </w:tcPr>
          <w:p>
            <w:pPr>
              <w:rPr>
                <w:b/>
                <w:bCs/>
                <w:color w:val="FFFFFF"/>
              </w:rPr>
            </w:pPr>
            <w:r>
              <w:t xml:space="preserve">Notes</w:t>
            </w:r>
          </w:p>
        </w:tc>
      </w:tr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TAM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€50B+</w:t>
            </w:r>
          </w:p>
        </w:tc>
        <w:tc>
          <w:tcPr>
            <w:tcW w:type="dxa" w:w="2000"/>
          </w:tcPr>
          <w:p>
            <w:pPr>
              <w:rPr>
                <w:sz w:val="10"/>
                <w:szCs w:val="10"/>
              </w:rPr>
            </w:pPr>
            <w:r>
              <w:t xml:space="preserve">German elder care</w:t>
            </w:r>
          </w:p>
        </w:tc>
      </w:tr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SAM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€8-12B</w:t>
            </w:r>
          </w:p>
        </w:tc>
        <w:tc>
          <w:tcPr>
            <w:tcW w:type="dxa" w:w="2000"/>
          </w:tcPr>
          <w:p>
            <w:pPr>
              <w:rPr>
                <w:sz w:val="10"/>
                <w:szCs w:val="10"/>
              </w:rPr>
            </w:pPr>
            <w:r>
              <w:t xml:space="preserve">Daily companion</w:t>
            </w:r>
          </w:p>
        </w:tc>
      </w:tr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SOM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€200-400M (Y5)</w:t>
            </w:r>
          </w:p>
        </w:tc>
        <w:tc>
          <w:tcPr>
            <w:tcW w:type="dxa" w:w="2000"/>
          </w:tcPr>
          <w:p>
            <w:pPr>
              <w:rPr>
                <w:sz w:val="10"/>
                <w:szCs w:val="10"/>
              </w:rPr>
            </w:pPr>
            <w:r>
              <w:t xml:space="preserve">Realistic capture</w:t>
            </w:r>
          </w:p>
        </w:tc>
      </w:tr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Care-Dependent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4.96M</w:t>
            </w:r>
          </w:p>
        </w:tc>
        <w:tc>
          <w:tcPr>
            <w:tcW w:type="dxa" w:w="2000"/>
          </w:tcPr>
          <w:p>
            <w:pPr>
              <w:rPr>
                <w:sz w:val="10"/>
                <w:szCs w:val="10"/>
              </w:rPr>
            </w:pPr>
            <w:r>
              <w:t xml:space="preserve">Germany 2024</w:t>
            </w:r>
          </w:p>
        </w:tc>
      </w:tr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§45b Annual Budget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€7.45B+</w:t>
            </w:r>
          </w:p>
        </w:tc>
        <w:tc>
          <w:tcPr>
            <w:tcW w:type="dxa" w:w="2000"/>
          </w:tcPr>
          <w:p>
            <w:pPr>
              <w:rPr>
                <w:sz w:val="10"/>
                <w:szCs w:val="10"/>
              </w:rPr>
            </w:pPr>
            <w:r>
              <w:t xml:space="preserve">€125/month total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t xml:space="preserve">Market Dynamics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Aging population increasing care demands annually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Government prioritizes digitalization of care services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Limited digital platforms currently serving this market segment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Strong regulatory support for §45b benefit integration</w:t>
      </w:r>
    </w:p>
    <w:r>
      <w:br w:type="page"/>
    </w:r>
    <w:p>
      <w:pPr>
        <w:pStyle w:val="Heading1"/>
        <w:spacing w:after="300" w:before="0"/>
      </w:pPr>
      <w:r>
        <w:t xml:space="preserve">Business Model</w:t>
      </w:r>
    </w:p>
    <w:p>
      <w:pPr>
        <w:pStyle w:val="Heading2"/>
        <w:spacing w:after="200" w:before="200"/>
      </w:pPr>
      <w:r>
        <w:t xml:space="preserve">Revenue Streams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Service Commission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15-20% commission per booking transaction</w:t>
      </w:r>
    </w:p>
    <w:p>
      <w:pPr>
        <w:pStyle w:val="ListParagraph"/>
        <w:numPr>
          <w:ilvl w:val="1"/>
          <w:numId w:val="1"/>
        </w:numPr>
        <w:spacing w:after="150"/>
      </w:pPr>
      <w:r>
        <w:t xml:space="preserve">Direct integration with §45b benefit payments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Premium Subscriptions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Subscription tiers for companions with enhanced visibility and premium bookings</w:t>
      </w:r>
    </w:p>
    <w:p>
      <w:pPr>
        <w:pStyle w:val="ListParagraph"/>
        <w:numPr>
          <w:ilvl w:val="1"/>
          <w:numId w:val="1"/>
        </w:numPr>
        <w:spacing w:after="300"/>
      </w:pPr>
      <w:r>
        <w:t xml:space="preserve">Premium features for customers (priority booking, concierge services)</w:t>
      </w:r>
    </w:p>
    <w:p>
      <w:pPr>
        <w:pStyle w:val="Heading2"/>
        <w:spacing w:after="200" w:before="200"/>
      </w:pPr>
      <w:r>
        <w:t xml:space="preserve">Unit Economics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C9963C"/>
          </w:tcPr>
          <w:p>
            <w:pPr>
              <w:rPr>
                <w:b/>
                <w:bCs/>
                <w:color w:val="FFFFFF"/>
              </w:rPr>
            </w:pPr>
            <w:r>
              <w:t xml:space="preserve">Metric</w:t>
            </w:r>
          </w:p>
        </w:tc>
        <w:tc>
          <w:tcPr>
            <w:tcW w:type="dxa" w:w="2500"/>
            <w:shd w:fill="C9963C"/>
          </w:tcPr>
          <w:p>
            <w:pPr>
              <w:rPr>
                <w:b/>
                <w:bCs/>
                <w:color w:val="FFFFFF"/>
              </w:rPr>
            </w:pPr>
            <w:r>
              <w:t xml:space="preserve">Value</w:t>
            </w:r>
          </w:p>
        </w:tc>
        <w:tc>
          <w:tcPr>
            <w:tcW w:type="dxa" w:w="2000"/>
            <w:shd w:fill="C9963C"/>
          </w:tcPr>
          <w:p>
            <w:pPr>
              <w:rPr>
                <w:b/>
                <w:bCs/>
                <w:color w:val="FFFFFF"/>
              </w:rPr>
            </w:pPr>
            <w:r>
              <w:t xml:space="preserve">Example</w:t>
            </w:r>
          </w:p>
        </w:tc>
      </w:tr>
      <w:tr>
        <w:tc>
          <w:tcPr>
            <w:tcW w:type="dxa" w:w="2500"/>
            <w:shd w:fill="F5F5F5"/>
          </w:tcPr>
          <w:p>
            <w:pPr>
              <w:rPr>
                <w:b/>
                <w:bCs/>
              </w:rPr>
            </w:pPr>
            <w:r>
              <w:t xml:space="preserve">Avg Booking Value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€25-40</w:t>
            </w:r>
          </w:p>
        </w:tc>
        <w:tc>
          <w:tcPr>
            <w:tcW w:type="dxa" w:w="2000"/>
          </w:tcPr>
          <w:p>
            <w:pPr>
              <w:rPr>
                <w:sz w:val="10"/>
                <w:szCs w:val="10"/>
              </w:rPr>
            </w:pPr>
            <w:r>
              <w:t xml:space="preserve">2-4 hour companion</w:t>
            </w:r>
          </w:p>
        </w:tc>
      </w:tr>
      <w:tr>
        <w:tc>
          <w:tcPr>
            <w:tcW w:type="dxa" w:w="2500"/>
            <w:shd w:fill="F5F5F5"/>
          </w:tcPr>
          <w:p>
            <w:pPr>
              <w:rPr>
                <w:b/>
                <w:bCs/>
              </w:rPr>
            </w:pPr>
            <w:r>
              <w:t xml:space="preserve">Commission/Booking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€4-8</w:t>
            </w:r>
          </w:p>
        </w:tc>
        <w:tc>
          <w:tcPr>
            <w:tcW w:type="dxa" w:w="2000"/>
          </w:tcPr>
          <w:p>
            <w:pPr>
              <w:rPr>
                <w:sz w:val="10"/>
                <w:szCs w:val="10"/>
              </w:rPr>
            </w:pPr>
            <w:r>
              <w:t xml:space="preserve">15-20% take rate</w:t>
            </w:r>
          </w:p>
        </w:tc>
      </w:tr>
      <w:tr>
        <w:tc>
          <w:tcPr>
            <w:tcW w:type="dxa" w:w="2500"/>
            <w:shd w:fill="F5F5F5"/>
          </w:tcPr>
          <w:p>
            <w:pPr>
              <w:rPr>
                <w:b/>
                <w:bCs/>
              </w:rPr>
            </w:pPr>
            <w:r>
              <w:t xml:space="preserve">CAC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€15-25</w:t>
            </w:r>
          </w:p>
        </w:tc>
        <w:tc>
          <w:tcPr>
            <w:tcW w:type="dxa" w:w="2000"/>
          </w:tcPr>
          <w:p>
            <w:pPr>
              <w:rPr>
                <w:sz w:val="10"/>
                <w:szCs w:val="10"/>
              </w:rPr>
            </w:pPr>
            <w:r>
              <w:t xml:space="preserve">Digital + referral</w:t>
            </w:r>
          </w:p>
        </w:tc>
      </w:tr>
      <w:tr>
        <w:tc>
          <w:tcPr>
            <w:tcW w:type="dxa" w:w="2500"/>
            <w:shd w:fill="F5F5F5"/>
          </w:tcPr>
          <w:p>
            <w:pPr>
              <w:rPr>
                <w:b/>
                <w:bCs/>
              </w:rPr>
            </w:pPr>
            <w:r>
              <w:t xml:space="preserve">LTV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€400-600</w:t>
            </w:r>
          </w:p>
        </w:tc>
        <w:tc>
          <w:tcPr>
            <w:tcW w:type="dxa" w:w="2000"/>
          </w:tcPr>
          <w:p>
            <w:pPr>
              <w:rPr>
                <w:sz w:val="10"/>
                <w:szCs w:val="10"/>
              </w:rPr>
            </w:pPr>
            <w:r>
              <w:t xml:space="preserve">12-month horizon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t xml:space="preserve">Path to Profitability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Contribution margins improve with scale due to platform operating leverage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Break-even targeted at 50,000 active customer base with 5+ monthly bookings average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Accelerated unit economics through §45b direct billing partnerships</w:t>
      </w:r>
    </w:p>
    <w:r>
      <w:br w:type="page"/>
    </w:r>
    <w:p>
      <w:pPr>
        <w:pStyle w:val="Heading1"/>
        <w:spacing w:after="300" w:before="0"/>
      </w:pPr>
      <w:r>
        <w:t xml:space="preserve">Competitive Advantage</w:t>
      </w:r>
    </w:p>
    <w:p>
      <w:pPr>
        <w:pStyle w:val="Heading2"/>
        <w:spacing w:after="200" w:before="200"/>
      </w:pPr>
      <w:r>
        <w:t xml:space="preserve">Key Competitive Moats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§45b Integration Leadership</w:t>
      </w:r>
    </w:p>
    <w:p>
      <w:pPr>
        <w:pStyle w:val="ListParagraph"/>
        <w:numPr>
          <w:ilvl w:val="1"/>
          <w:numId w:val="1"/>
        </w:numPr>
        <w:spacing w:after="150"/>
      </w:pPr>
      <w:r>
        <w:t xml:space="preserve">Only platform with direct care insurance billing integration – significant switching cost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Network Effects</w:t>
      </w:r>
    </w:p>
    <w:p>
      <w:pPr>
        <w:pStyle w:val="ListParagraph"/>
        <w:numPr>
          <w:ilvl w:val="1"/>
          <w:numId w:val="1"/>
        </w:numPr>
        <w:spacing w:after="150"/>
      </w:pPr>
      <w:r>
        <w:t xml:space="preserve">Two-sided marketplace strengthens with each new user (customer + companion)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Data &amp; Quality Advantage</w:t>
      </w:r>
    </w:p>
    <w:p>
      <w:pPr>
        <w:pStyle w:val="ListParagraph"/>
        <w:numPr>
          <w:ilvl w:val="1"/>
          <w:numId w:val="1"/>
        </w:numPr>
        <w:spacing w:after="150"/>
      </w:pPr>
      <w:r>
        <w:t xml:space="preserve">100% insured, verified companions with centralized reputation system</w:t>
      </w:r>
    </w:p>
    <w:p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>
        <w:t xml:space="preserve">Technology Infrastructure</w:t>
      </w:r>
    </w:p>
    <w:p>
      <w:pPr>
        <w:pStyle w:val="ListParagraph"/>
        <w:numPr>
          <w:ilvl w:val="1"/>
          <w:numId w:val="1"/>
        </w:numPr>
        <w:spacing w:after="300"/>
      </w:pPr>
      <w:r>
        <w:t xml:space="preserve">React Native (Expo) + Supabase stack enabling rapid deployment and scalability</w:t>
      </w:r>
    </w:p>
    <w:p>
      <w:pPr>
        <w:pStyle w:val="Heading2"/>
        <w:spacing w:after="150" w:before="200"/>
      </w:pPr>
      <w:r>
        <w:t xml:space="preserve">Unique Value Propositions (USPs)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100% Insurance Coverage – All companions fully insured for liability and accidents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§45b Billing Integration – Seamless government benefit utilization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24/7 Availability – Round-the-clock support and emergency booking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Vetted &amp; Certified – Comprehensive background checks and qualification verification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Elderly-Friendly Interface – UX designed specifically for aging users</w:t>
      </w:r>
    </w:p>
    <w:r>
      <w:br w:type="page"/>
    </w:r>
    <w:p>
      <w:pPr>
        <w:pStyle w:val="Heading1"/>
        <w:spacing w:after="300" w:before="0"/>
      </w:pPr>
      <w:r>
        <w:t xml:space="preserve">Team</w:t>
      </w:r>
    </w:p>
    <w:p>
      <w:pPr>
        <w:pStyle w:val="Heading2"/>
        <w:spacing w:after="300" w:before="200"/>
      </w:pPr>
      <w:r>
        <w:t xml:space="preserve">Founding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C9963C"/>
          </w:tcPr>
          <w:p>
            <w:pPr>
              <w:rPr>
                <w:b/>
                <w:bCs/>
                <w:color w:val="FFFFFF"/>
              </w:rPr>
            </w:pPr>
            <w:r>
              <w:t xml:space="preserve">Name</w:t>
            </w:r>
          </w:p>
        </w:tc>
        <w:tc>
          <w:tcPr>
            <w:tcW w:type="dxa" w:w="1500"/>
            <w:shd w:fill="C9963C"/>
          </w:tcPr>
          <w:p>
            <w:pPr>
              <w:rPr>
                <w:b/>
                <w:bCs/>
                <w:color w:val="FFFFFF"/>
              </w:rPr>
            </w:pPr>
            <w:r>
              <w:t xml:space="preserve">Role</w:t>
            </w:r>
          </w:p>
        </w:tc>
        <w:tc>
          <w:tcPr>
            <w:tcW w:type="dxa" w:w="3000"/>
            <w:shd w:fill="C9963C"/>
          </w:tcPr>
          <w:p>
            <w:pPr>
              <w:rPr>
                <w:b/>
                <w:bCs/>
                <w:color w:val="FFFFFF"/>
              </w:rPr>
            </w:pPr>
            <w:r>
              <w:t xml:space="preserve">Background</w:t>
            </w:r>
          </w:p>
        </w:tc>
      </w:tr>
      <w:tr>
        <w:tc>
          <w:tcPr>
            <w:tcW w:type="dxa" w:w="1500"/>
            <w:shd w:fill="F5F5F5"/>
          </w:tcPr>
          <w:p>
            <w:r>
              <w:t xml:space="preserve">Dr. Anna Schmidt</w:t>
            </w:r>
          </w:p>
        </w:tc>
        <w:tc>
          <w:tcPr>
            <w:tcW w:type="dxa" w:w="1500"/>
          </w:tcPr>
          <w:p>
            <w:pPr>
              <w:rPr>
                <w:b/>
                <w:bCs/>
              </w:rPr>
            </w:pPr>
            <w:r>
              <w:t xml:space="preserve">CEO</w:t>
            </w:r>
          </w:p>
        </w:tc>
        <w:tc>
          <w:tcPr>
            <w:tcW w:type="dxa" w:w="3000"/>
          </w:tcPr>
          <w:p>
            <w:pPr>
              <w:rPr>
                <w:sz w:val="10"/>
                <w:szCs w:val="10"/>
              </w:rPr>
            </w:pPr>
            <w:r>
              <w:t xml:space="preserve">Healthcare IT expert, 12 years in German senior care. Founded 2 previous healthtech ventures.</w:t>
            </w:r>
          </w:p>
        </w:tc>
      </w:tr>
      <w:tr>
        <w:tc>
          <w:tcPr>
            <w:tcW w:type="dxa" w:w="1500"/>
            <w:shd w:fill="F5F5F5"/>
          </w:tcPr>
          <w:p>
            <w:r>
              <w:t xml:space="preserve">Marcus Weber</w:t>
            </w:r>
          </w:p>
        </w:tc>
        <w:tc>
          <w:tcPr>
            <w:tcW w:type="dxa" w:w="1500"/>
          </w:tcPr>
          <w:p>
            <w:pPr>
              <w:rPr>
                <w:b/>
                <w:bCs/>
              </w:rPr>
            </w:pPr>
            <w:r>
              <w:t xml:space="preserve">CTO</w:t>
            </w:r>
          </w:p>
        </w:tc>
        <w:tc>
          <w:tcPr>
            <w:tcW w:type="dxa" w:w="3000"/>
          </w:tcPr>
          <w:p>
            <w:pPr>
              <w:rPr>
                <w:sz w:val="10"/>
                <w:szCs w:val="10"/>
              </w:rPr>
            </w:pPr>
            <w:r>
              <w:t xml:space="preserve">React Native specialist. Led mobile at 2x Series B startups. Expo certified developer.</w:t>
            </w:r>
          </w:p>
        </w:tc>
      </w:tr>
      <w:tr>
        <w:tc>
          <w:tcPr>
            <w:tcW w:type="dxa" w:w="1500"/>
            <w:shd w:fill="F5F5F5"/>
          </w:tcPr>
          <w:p>
            <w:r>
              <w:t xml:space="preserve">Nina Hoffmann</w:t>
            </w:r>
          </w:p>
        </w:tc>
        <w:tc>
          <w:tcPr>
            <w:tcW w:type="dxa" w:w="1500"/>
          </w:tcPr>
          <w:p>
            <w:pPr>
              <w:rPr>
                <w:b/>
                <w:bCs/>
              </w:rPr>
            </w:pPr>
            <w:r>
              <w:t xml:space="preserve">COO</w:t>
            </w:r>
          </w:p>
        </w:tc>
        <w:tc>
          <w:tcPr>
            <w:tcW w:type="dxa" w:w="3000"/>
          </w:tcPr>
          <w:p>
            <w:pPr>
              <w:rPr>
                <w:sz w:val="10"/>
                <w:szCs w:val="10"/>
              </w:rPr>
            </w:pPr>
            <w:r>
              <w:t xml:space="preserve">Operations &amp; compliance expert. 10 years at care insurance provider. Deep §45b knowledge.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t xml:space="preserve">Key Strengths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Deep regulatory and operational knowledge of German care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Proven track record in healthtech and marketplace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Strong technical capabilities with experienced software engineering team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Existing network in care insurance and senior services sector</w:t>
      </w:r>
    </w:p>
    <w:r>
      <w:br w:type="page"/>
    </w:r>
    <w:p>
      <w:pPr>
        <w:pStyle w:val="Heading1"/>
        <w:spacing w:after="300" w:before="0"/>
      </w:pPr>
      <w:r>
        <w:t xml:space="preserve">Current Status &amp; Milestones</w:t>
      </w:r>
    </w:p>
    <w:p>
      <w:pPr>
        <w:pStyle w:val="Heading2"/>
        <w:spacing w:after="150" w:before="200"/>
      </w:pPr>
      <w:r>
        <w:t xml:space="preserve">Current Stage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Pre-incorporation with fully functional MVP deployed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Native (Expo) mobile platform live with core booking and payment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Initial beta testing with 50+ test users across customer and companion segments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Marketing campaign ready for full launch</w:t>
      </w:r>
    </w:p>
    <w:p>
      <w:pPr>
        <w:pStyle w:val="Heading2"/>
        <w:spacing w:after="150" w:before="200"/>
      </w:pPr>
      <w:r>
        <w:t xml:space="preserve">Key Milestones (Next 12 Months)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Q2 2026: Formal company incorporation and initial seed funding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Q2 2026: Launch regional marketing campaign (Berlin, Munich, Hamburg)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Q3 2026: §45b billing integration partnerships activated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Q3 2026: Achieve 5,000 active customer base with 20,000+ monthly bookings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 2026: Expand to 3 additional major cities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Q1 2027: Achieve positive unit economics and path to profitability</w:t>
      </w:r>
    </w:p>
    <w:r>
      <w:br w:type="page"/>
    </w:r>
    <w:p>
      <w:pPr>
        <w:pStyle w:val="Heading1"/>
        <w:spacing w:after="300" w:before="0"/>
      </w:pPr>
      <w:r>
        <w:t xml:space="preserve">Contact Information</w:t>
      </w:r>
    </w:p>
    <w:p>
      <w:pPr>
        <w:spacing w:after="300"/>
      </w:pPr>
      <w:r>
        <w:t xml:space="preserve">For questions regarding this investor data room and AlltagsEngel business opportunity, please contact: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5F5F5"/>
          </w:tcPr>
          <w:p>
            <w:pPr>
              <w:rPr>
                <w:b/>
                <w:bCs/>
              </w:rPr>
            </w:pPr>
            <w:r>
              <w:t xml:space="preserve">Contact</w:t>
            </w:r>
          </w:p>
        </w:tc>
        <w:tc>
          <w:tcPr>
            <w:tcW w:type="dxa" w:w="4000"/>
            <w:shd w:fill="F5F5F5"/>
          </w:tcPr>
          <w:p>
            <w:pPr>
              <w:rPr>
                <w:b/>
                <w:bCs/>
              </w:rPr>
            </w:pPr>
            <w:r>
              <w:t xml:space="preserve">Information</w:t>
            </w:r>
          </w:p>
        </w:tc>
      </w:tr>
      <w:tr>
        <w:tc>
          <w:tcPr>
            <w:tcW w:type="dxa" w:w="2000"/>
          </w:tcPr>
          <w:p>
            <w:r>
              <w:t xml:space="preserve">Email</w:t>
            </w:r>
          </w:p>
        </w:tc>
        <w:tc>
          <w:tcPr>
            <w:tcW w:type="dxa" w:w="4000"/>
          </w:tcPr>
          <w:p>
            <w:pPr>
              <w:rPr>
                <w:color w:val="C9963C"/>
                <w:u w:val="single"/>
              </w:rPr>
            </w:pPr>
            <w:r>
              <w:t xml:space="preserve">investors@alltagsengel.de</w:t>
            </w:r>
          </w:p>
        </w:tc>
      </w:tr>
      <w:tr>
        <w:tc>
          <w:tcPr>
            <w:tcW w:type="dxa" w:w="2000"/>
            <w:shd w:fill="F5F5F5"/>
          </w:tcPr>
          <w:p>
            <w:r>
              <w:t xml:space="preserve">Lead Contact</w:t>
            </w:r>
          </w:p>
        </w:tc>
        <w:tc>
          <w:tcPr>
            <w:tcW w:type="dxa" w:w="4000"/>
          </w:tcPr>
          <w:p>
            <w:r>
              <w:t xml:space="preserve">Dr. Anna Schmidt, CEO</w:t>
            </w:r>
          </w:p>
        </w:tc>
      </w:tr>
      <w:tr>
        <w:tc>
          <w:tcPr>
            <w:tcW w:type="dxa" w:w="2000"/>
          </w:tcPr>
          <w:p>
            <w:r>
              <w:t xml:space="preserve">Website</w:t>
            </w:r>
          </w:p>
        </w:tc>
        <w:tc>
          <w:tcPr>
            <w:tcW w:type="dxa" w:w="4000"/>
          </w:tcPr>
          <w:p>
            <w:pPr>
              <w:rPr>
                <w:color w:val="C9963C"/>
                <w:u w:val="single"/>
              </w:rPr>
            </w:pPr>
            <w:r>
              <w:t xml:space="preserve">www.alltagsengel.de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t xml:space="preserve">Document Information</w:t>
      </w:r>
    </w:p>
    <w:p>
      <w:pPr>
        <w:spacing w:after="50"/>
        <w:rPr>
          <w:sz w:val="10"/>
          <w:szCs w:val="10"/>
        </w:rPr>
      </w:pPr>
      <w:r>
        <w:t xml:space="preserve">Version: 1.0</w:t>
      </w:r>
    </w:p>
    <w:p>
      <w:pPr>
        <w:spacing w:after="50"/>
        <w:rPr>
          <w:sz w:val="10"/>
          <w:szCs w:val="10"/>
        </w:rPr>
      </w:pPr>
      <w:r>
        <w:t xml:space="preserve">Date: March 2, 2026</w:t>
      </w:r>
    </w:p>
    <w:p>
      <w:pPr>
        <w:spacing w:after="200"/>
        <w:rPr>
          <w:color w:val="CC0000"/>
          <w:sz w:val="10"/>
          <w:szCs w:val="10"/>
        </w:rPr>
      </w:pPr>
      <w:r>
        <w:t xml:space="preserve">Classification: Confidential – Investor Data Room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2026-03-02T00:23:36.882Z</dcterms:created>
  <dcterms:modified xsi:type="dcterms:W3CDTF">2026-03-02T00:23:36.883Z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