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100"/>
        <w:jc w:val="center"/>
      </w:pPr>
      <w:r>
        <w:t xml:space="preserve">LEGAL &amp; COMPLIANCE SUMMARY</w:t>
      </w:r>
      <w:r>
        <w:rPr>
          <w:b/>
          <w:bCs/>
          <w:color w:val="C9963C"/>
          <w:sz w:val="56"/>
          <w:szCs w:val="56"/>
        </w:rPr>
        <w:t xml:space="preserve">LEGAL &amp; COMPLIANCE SUMMARY</w:t>
      </w:r>
    </w:p>
    <w:p>
      <w:pPr>
        <w:spacing w:after="200"/>
      </w:pPr>
    </w:p>
    <w:p>
      <w:pPr>
        <w:spacing w:after="100"/>
        <w:jc w:val="center"/>
      </w:pPr>
      <w:r>
        <w:t xml:space="preserve">AlltagsEngel</w:t>
      </w:r>
      <w:r>
        <w:rPr>
          <w:b/>
          <w:bCs/>
          <w:color w:val="C9963C"/>
          <w:sz w:val="40"/>
          <w:szCs w:val="40"/>
        </w:rPr>
        <w:t xml:space="preserve">AlltagsEngel</w:t>
      </w:r>
    </w:p>
    <w:p>
      <w:pPr>
        <w:spacing w:after="300"/>
      </w:pPr>
    </w:p>
    <w:p>
      <w:pPr>
        <w:spacing w:after="200"/>
        <w:jc w:val="center"/>
      </w:pPr>
      <w:r>
        <w:t xml:space="preserve">Mobile Platform for Elderly Care Companionship</w:t>
      </w:r>
      <w:r>
        <w:rPr>
          <w:sz w:val="24"/>
          <w:szCs w:val="24"/>
        </w:rPr>
        <w:t xml:space="preserve">Mobile Platform for Elderly Care Companionship</w:t>
      </w:r>
    </w:p>
    <w:p>
      <w:pPr>
        <w:spacing w:after="500"/>
      </w:pPr>
    </w:p>
    <w:p>
      <w:pPr>
        <w:spacing w:after="100"/>
        <w:jc w:val="center"/>
      </w:pPr>
      <w:r>
        <w:t xml:space="preserve">CONFIDENTIAL</w:t>
      </w:r>
      <w:r>
        <w:rPr>
          <w:b/>
          <w:bCs/>
          <w:color w:val="C9963C"/>
          <w:sz w:val="24"/>
          <w:szCs w:val="24"/>
        </w:rPr>
        <w:t xml:space="preserve">CONFIDENTIAL</w:t>
      </w:r>
    </w:p>
    <w:p>
      <w:pPr>
        <w:spacing w:after="400"/>
      </w:pPr>
    </w:p>
    <w:p>
      <w:pPr>
        <w:spacing w:after="100"/>
        <w:jc w:val="center"/>
      </w:pPr>
      <w:r>
        <w:t xml:space="preserve">March 2025</w:t>
      </w:r>
      <w:r>
        <w:rPr>
          <w:sz w:val="22"/>
          <w:szCs w:val="22"/>
        </w:rPr>
        <w:t xml:space="preserve">March 2025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TABLE OF CONTENTS</w:t>
      </w:r>
      <w:r>
        <w:rPr>
          <w:b/>
          <w:bCs/>
          <w:color w:val="C9963C"/>
          <w:sz w:val="44"/>
          <w:szCs w:val="44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Structure</w:t>
      </w:r>
      <w:r>
        <w:rPr>
          <w:sz w:val="22"/>
          <w:szCs w:val="22"/>
        </w:rPr>
        <w:t xml:space="preserve">Corporate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Framework</w:t>
      </w:r>
      <w:r>
        <w:rPr>
          <w:sz w:val="22"/>
          <w:szCs w:val="22"/>
        </w:rPr>
        <w:t xml:space="preserve">Regulatory Framework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Protection &amp; Privacy</w:t>
      </w:r>
      <w:r>
        <w:rPr>
          <w:sz w:val="22"/>
          <w:szCs w:val="22"/>
        </w:rPr>
        <w:t xml:space="preserve">Data Protection &amp; 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&amp; Liability</w:t>
      </w:r>
      <w:r>
        <w:rPr>
          <w:sz w:val="22"/>
          <w:szCs w:val="22"/>
        </w:rPr>
        <w:t xml:space="preserve">Insurance &amp; Liability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Employment Law Considerations</w:t>
      </w:r>
      <w:r>
        <w:rPr>
          <w:sz w:val="22"/>
          <w:szCs w:val="22"/>
        </w:rPr>
        <w:t xml:space="preserve">Employment Law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Intellectual Property</w:t>
      </w:r>
      <w:r>
        <w:rPr>
          <w:sz w:val="22"/>
          <w:szCs w:val="22"/>
        </w:rPr>
        <w:t xml:space="preserve">Intellectual Property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Contracts &amp; Agreements</w:t>
      </w:r>
      <w:r>
        <w:rPr>
          <w:sz w:val="22"/>
          <w:szCs w:val="22"/>
        </w:rPr>
        <w:t xml:space="preserve">Key Contracts &amp; Agreements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 Roadmap</w:t>
      </w:r>
      <w:r>
        <w:rPr>
          <w:sz w:val="22"/>
          <w:szCs w:val="22"/>
        </w:rPr>
        <w:t xml:space="preserve">Compliance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Mitigation</w:t>
      </w:r>
      <w:r>
        <w:rPr>
          <w:sz w:val="22"/>
          <w:szCs w:val="22"/>
        </w:rPr>
        <w:t xml:space="preserve">Risk Mitigation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1. CORPORATE STRUCTURE</w:t>
      </w:r>
      <w:r>
        <w:rPr>
          <w:b/>
          <w:bCs/>
          <w:color w:val="C9963C"/>
          <w:sz w:val="44"/>
          <w:szCs w:val="44"/>
        </w:rPr>
        <w:t xml:space="preserve">1. CORPORATE STRUCTURE</w:t>
      </w:r>
    </w:p>
    <w:p>
      <w:pPr>
        <w:spacing w:after="100"/>
      </w:pPr>
      <w:r>
        <w:t xml:space="preserve">AlltagsEngel is structured as a German limited liability company, positioned to serve the growing elderly care companionship market in Germany.</w:t>
      </w:r>
      <w:r>
        <w:rPr>
          <w:b w:val="false"/>
          <w:bCs w:val="false"/>
          <w:sz w:val="22"/>
          <w:szCs w:val="22"/>
        </w:rPr>
        <w:t xml:space="preserve">AlltagsEngel is structured as a German limited liability company, positioned to serve the growing elderly care companionship market in Germany.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Company Formation</w:t>
      </w:r>
      <w:r>
        <w:rPr>
          <w:b/>
          <w:bCs/>
          <w:color w:val="C9963C"/>
          <w:sz w:val="32"/>
          <w:szCs w:val="32"/>
        </w:rPr>
        <w:t xml:space="preserve">Company 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Entity: AlltagsEngel GmbH (planned incorporation)</w:t>
      </w:r>
      <w:r>
        <w:rPr>
          <w:sz w:val="22"/>
          <w:szCs w:val="22"/>
        </w:rPr>
        <w:t xml:space="preserve">Legal Entity: AlltagsEngel GmbH (planned incorporation)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Registered Office: Germany (to be finalized upon incorporation)</w:t>
      </w:r>
      <w:r>
        <w:rPr>
          <w:sz w:val="22"/>
          <w:szCs w:val="22"/>
        </w:rPr>
        <w:t xml:space="preserve">Registered Office: Germany (to be finalized upon incorporation)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Purpose: Provision of companion services for elderly care under German social care regulations</w:t>
      </w:r>
      <w:r>
        <w:rPr>
          <w:sz w:val="22"/>
          <w:szCs w:val="22"/>
        </w:rPr>
        <w:t xml:space="preserve">Business Purpose: Provision of companion services for elderly care under German social care regulations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Capital Structure</w:t>
      </w:r>
      <w:r>
        <w:rPr>
          <w:b/>
          <w:bCs/>
          <w:color w:val="C9963C"/>
          <w:sz w:val="32"/>
          <w:szCs w:val="32"/>
        </w:rPr>
        <w:t xml:space="preserve">Capital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Capital: €25,000 (standard minimum for GmbH formation)</w:t>
      </w:r>
      <w:r>
        <w:rPr>
          <w:sz w:val="22"/>
          <w:szCs w:val="22"/>
        </w:rPr>
        <w:t xml:space="preserve">Share Capital: €25,000 (standard minimum for GmbH formation)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Founders: 3 co-founders (equity distribution pending finalization)</w:t>
      </w:r>
      <w:r>
        <w:rPr>
          <w:sz w:val="22"/>
          <w:szCs w:val="22"/>
        </w:rPr>
        <w:t xml:space="preserve">Founders: 3 co-founders (equity distribution pending finalization)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Register: To be maintained by registered office</w:t>
      </w:r>
      <w:r>
        <w:rPr>
          <w:sz w:val="22"/>
          <w:szCs w:val="22"/>
        </w:rPr>
        <w:t xml:space="preserve">Share Register: To be maintained by registered office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Governance</w:t>
      </w:r>
      <w:r>
        <w:rPr>
          <w:b/>
          <w:bCs/>
          <w:color w:val="C9963C"/>
          <w:sz w:val="32"/>
          <w:szCs w:val="32"/>
        </w:rPr>
        <w:t xml:space="preserve">Governance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Management Board: To be appointed upon incorporation</w:t>
      </w:r>
      <w:r>
        <w:rPr>
          <w:sz w:val="22"/>
          <w:szCs w:val="22"/>
        </w:rPr>
        <w:t xml:space="preserve">Management Board: To be appointed upon incorporation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Shareholder Meetings: To be held in accordance with German GmbH law (GmbHG)</w:t>
      </w:r>
      <w:r>
        <w:rPr>
          <w:sz w:val="22"/>
          <w:szCs w:val="22"/>
        </w:rPr>
        <w:t xml:space="preserve">Shareholder Meetings: To be held in accordance with German GmbH law (GmbHG)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Articles of Association: To be drafted and executed</w:t>
      </w:r>
      <w:r>
        <w:rPr>
          <w:sz w:val="22"/>
          <w:szCs w:val="22"/>
        </w:rPr>
        <w:t xml:space="preserve">Articles of Association: To be drafted and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 Officer: To be appointed during growth phase</w:t>
      </w:r>
      <w:r>
        <w:rPr>
          <w:sz w:val="22"/>
          <w:szCs w:val="22"/>
        </w:rPr>
        <w:t xml:space="preserve">Compliance Officer: To be appointed during growth phase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2. REGULATORY FRAMEWORK</w:t>
      </w:r>
      <w:r>
        <w:rPr>
          <w:b/>
          <w:bCs/>
          <w:color w:val="C9963C"/>
          <w:sz w:val="44"/>
          <w:szCs w:val="44"/>
        </w:rPr>
        <w:t xml:space="preserve">2. REGULATORY FRAMEWORK</w:t>
      </w:r>
    </w:p>
    <w:p>
      <w:pPr>
        <w:spacing w:after="100"/>
      </w:pPr>
      <w:r>
        <w:t xml:space="preserve">AlltagsEngel operates under a comprehensive regulatory framework governing elderly care services in Germany. The platform is designed to comply with federal and state-level regulations.</w:t>
      </w:r>
      <w:r>
        <w:rPr>
          <w:b w:val="false"/>
          <w:bCs w:val="false"/>
          <w:sz w:val="22"/>
          <w:szCs w:val="22"/>
        </w:rPr>
        <w:t xml:space="preserve">AlltagsEngel operates under a comprehensive regulatory framework governing elderly care services in Germany. The platform is designed to comply with federal and state-level regulations.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§45b SGB XI - Entlastungsleistungen (Relief Services)</w:t>
      </w:r>
      <w:r>
        <w:rPr>
          <w:b/>
          <w:bCs/>
          <w:color w:val="C9963C"/>
          <w:sz w:val="32"/>
          <w:szCs w:val="32"/>
        </w:rPr>
        <w:t xml:space="preserve">§45b SGB XI - Entlastungsleistungen (Relief Services)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Statutory Funding: €125 per month per care-dependent person for relief services</w:t>
      </w:r>
      <w:r>
        <w:rPr>
          <w:sz w:val="22"/>
          <w:szCs w:val="22"/>
        </w:rPr>
        <w:t xml:space="preserve">Statutory Funding: €125 per month per care-dependent person for relief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Provider Recognition: AlltagsEngel must obtain "Anerkennung" (formal recognition) from competent state authorities</w:t>
      </w:r>
      <w:r>
        <w:rPr>
          <w:sz w:val="22"/>
          <w:szCs w:val="22"/>
        </w:rPr>
        <w:t xml:space="preserve">Service Provider Recognition: AlltagsEngel must obtain "Anerkennung" (formal recognition) from competent state authorities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Scope: Services must be approved activities under the social care code</w:t>
      </w:r>
      <w:r>
        <w:rPr>
          <w:sz w:val="22"/>
          <w:szCs w:val="22"/>
        </w:rPr>
        <w:t xml:space="preserve">Scope: Services must be approved activities under the social care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Implementation Timeline: Recognition applications planned for pilot state prior to full market launch</w:t>
      </w:r>
      <w:r>
        <w:rPr>
          <w:sz w:val="22"/>
          <w:szCs w:val="22"/>
        </w:rPr>
        <w:t xml:space="preserve">Implementation Timeline: Recognition applications planned for pilot state prior to full market launch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§53b SGB XI - Companion Qualification Requirements</w:t>
      </w:r>
      <w:r>
        <w:rPr>
          <w:b/>
          <w:bCs/>
          <w:color w:val="C9963C"/>
          <w:sz w:val="32"/>
          <w:szCs w:val="32"/>
        </w:rPr>
        <w:t xml:space="preserve">§53b SGB XI - Companion Qualification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Training: All Alltagsbegleiter (companions) must meet certification requirements</w:t>
      </w:r>
      <w:r>
        <w:rPr>
          <w:sz w:val="22"/>
          <w:szCs w:val="22"/>
        </w:rPr>
        <w:t xml:space="preserve">Minimum Training: All Alltagsbegleiter (companions) must meet certification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 Standards: Varies by state; typically includes 40+ hours in social care and communication</w:t>
      </w:r>
      <w:r>
        <w:rPr>
          <w:sz w:val="22"/>
          <w:szCs w:val="22"/>
        </w:rPr>
        <w:t xml:space="preserve">Training Standards: Varies by state; typically includes 40+ hours in social care and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Verification Process: AlltagsEngel to implement certification verification system</w:t>
      </w:r>
      <w:r>
        <w:rPr>
          <w:sz w:val="22"/>
          <w:szCs w:val="22"/>
        </w:rPr>
        <w:t xml:space="preserve">Verification Process: AlltagsEngel to implement certification verification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Ongoing Compliance: Regular credential monitoring and renewal tracking</w:t>
      </w:r>
      <w:r>
        <w:rPr>
          <w:sz w:val="22"/>
          <w:szCs w:val="22"/>
        </w:rPr>
        <w:t xml:space="preserve">Ongoing Compliance: Regular credential monitoring and renewal tracking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Landesrecht (State-Level Regulations)</w:t>
      </w:r>
      <w:r>
        <w:rPr>
          <w:b/>
          <w:bCs/>
          <w:color w:val="C9963C"/>
          <w:sz w:val="32"/>
          <w:szCs w:val="32"/>
        </w:rPr>
        <w:t xml:space="preserve">Landesrecht (State-Level Regulations)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Jurisdictional Variation: Regulations vary significantly by Bundesland</w:t>
      </w:r>
      <w:r>
        <w:rPr>
          <w:sz w:val="22"/>
          <w:szCs w:val="22"/>
        </w:rPr>
        <w:t xml:space="preserve">Jurisdictional Variation: Regulations vary significantly by Bundesland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State-Specific Approval: §45b recognition must be obtained from each state where services are offered</w:t>
      </w:r>
      <w:r>
        <w:rPr>
          <w:sz w:val="22"/>
          <w:szCs w:val="22"/>
        </w:rPr>
        <w:t xml:space="preserve">State-Specific Approval: §45b recognition must be obtained from each state where services are offered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Liaison: AlltagsEngel to establish relationships with state health and social authorities</w:t>
      </w:r>
      <w:r>
        <w:rPr>
          <w:sz w:val="22"/>
          <w:szCs w:val="22"/>
        </w:rPr>
        <w:t xml:space="preserve">Regulatory Liaison: AlltagsEngel to establish relationships with state health and social authorities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Multi-State Roadmap: Phased expansion across federal states as approvals are secured</w:t>
      </w:r>
      <w:r>
        <w:rPr>
          <w:sz w:val="22"/>
          <w:szCs w:val="22"/>
        </w:rPr>
        <w:t xml:space="preserve">Multi-State Roadmap: Phased expansion across federal states as approvals are secured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3. DATA PROTECTION &amp; PRIVACY</w:t>
      </w:r>
      <w:r>
        <w:rPr>
          <w:b/>
          <w:bCs/>
          <w:color w:val="C9963C"/>
          <w:sz w:val="44"/>
          <w:szCs w:val="44"/>
        </w:rPr>
        <w:t xml:space="preserve">3. DATA PROTECTION &amp; PRIVACY</w:t>
      </w:r>
    </w:p>
    <w:p>
      <w:pPr>
        <w:spacing w:after="100"/>
      </w:pPr>
      <w:r>
        <w:t xml:space="preserve">AlltagsEngel processes health and personal data requiring strict compliance with GDPR and German data protection laws (DSGVO).</w:t>
      </w:r>
      <w:r>
        <w:rPr>
          <w:b w:val="false"/>
          <w:bCs w:val="false"/>
          <w:sz w:val="22"/>
          <w:szCs w:val="22"/>
        </w:rPr>
        <w:t xml:space="preserve">AlltagsEngel processes health and personal data requiring strict compliance with GDPR and German data protection laws (DSGVO).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GDPR/DSGVO Compliance Framework</w:t>
      </w:r>
      <w:r>
        <w:rPr>
          <w:b/>
          <w:bCs/>
          <w:color w:val="C9963C"/>
          <w:sz w:val="32"/>
          <w:szCs w:val="32"/>
        </w:rPr>
        <w:t xml:space="preserve">GDPR/DSGVO Compliance Framework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Processing Agreements: Required for all third-party processors (cloud providers, analytics platforms)</w:t>
      </w:r>
      <w:r>
        <w:rPr>
          <w:sz w:val="22"/>
          <w:szCs w:val="22"/>
        </w:rPr>
        <w:t xml:space="preserve">Data Processing Agreements: Required for all third-party processors (cloud providers, analytics platforms)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by Design: Data protection principles integrated into all platform features</w:t>
      </w:r>
      <w:r>
        <w:rPr>
          <w:sz w:val="22"/>
          <w:szCs w:val="22"/>
        </w:rPr>
        <w:t xml:space="preserve">Privacy by Design: Data protection principles integrated into all platform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Consent Management: Explicit consent collection and management system for data processing</w:t>
      </w:r>
      <w:r>
        <w:rPr>
          <w:sz w:val="22"/>
          <w:szCs w:val="22"/>
        </w:rPr>
        <w:t xml:space="preserve">User Consent Management: Explicit consent collection and management system for data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Retention Policies: Clear retention schedules aligned with legal requirements and service needs</w:t>
      </w:r>
      <w:r>
        <w:rPr>
          <w:sz w:val="22"/>
          <w:szCs w:val="22"/>
        </w:rPr>
        <w:t xml:space="preserve">Data Retention Policies: Clear retention schedules aligned with legal requirements and service needs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 to Erasure: Technical and organizational measures to enable user data deletion ("right to be forgotten")</w:t>
      </w:r>
      <w:r>
        <w:rPr>
          <w:sz w:val="22"/>
          <w:szCs w:val="22"/>
        </w:rPr>
        <w:t xml:space="preserve">Right to Erasure: Technical and organizational measures to enable user data deletion ("right to be forgotten")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Health Data Handling (Article 9 GDPR Special Category Data)</w:t>
      </w:r>
      <w:r>
        <w:rPr>
          <w:b/>
          <w:bCs/>
          <w:color w:val="C9963C"/>
          <w:sz w:val="32"/>
          <w:szCs w:val="32"/>
        </w:rPr>
        <w:t xml:space="preserve">Health Data Handling (Article 9 GDPR Special Category Data)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Heightened Protection: Health information classified as special category data requiring enhanced safeguards</w:t>
      </w:r>
      <w:r>
        <w:rPr>
          <w:sz w:val="22"/>
          <w:szCs w:val="22"/>
        </w:rPr>
        <w:t xml:space="preserve">Heightened Protection: Health information classified as special category data requiring enhanced safeguards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Legitimate Basis: Service delivery under legal obligations (care-related information must be processed)</w:t>
      </w:r>
      <w:r>
        <w:rPr>
          <w:sz w:val="22"/>
          <w:szCs w:val="22"/>
        </w:rPr>
        <w:t xml:space="preserve">Legitimate Basis: Service delivery under legal obligations (care-related information must be processed)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Controls: Strict role-based access for personnel handling health information</w:t>
      </w:r>
      <w:r>
        <w:rPr>
          <w:sz w:val="22"/>
          <w:szCs w:val="22"/>
        </w:rPr>
        <w:t xml:space="preserve">Access Controls: Strict role-based access for personnel handling health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Encryption: Health data encrypted at rest and in transit</w:t>
      </w:r>
      <w:r>
        <w:rPr>
          <w:sz w:val="22"/>
          <w:szCs w:val="22"/>
        </w:rPr>
        <w:t xml:space="preserve">Encryption: Health data encrypted at rest and in transit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Data Protection Impact Assessment (DPIA)</w:t>
      </w:r>
      <w:r>
        <w:rPr>
          <w:b/>
          <w:bCs/>
          <w:color w:val="C9963C"/>
          <w:sz w:val="32"/>
          <w:szCs w:val="32"/>
        </w:rPr>
        <w:t xml:space="preserve">Data Protection Impact Assessment (DPIA)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Planned Completion: Prior to full service launch</w:t>
      </w:r>
      <w:r>
        <w:rPr>
          <w:sz w:val="22"/>
          <w:szCs w:val="22"/>
        </w:rPr>
        <w:t xml:space="preserve">Planned Completion: Prior to full service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Scope: Assessment of high-risk processing activities (health data, location tracking if applicable)</w:t>
      </w:r>
      <w:r>
        <w:rPr>
          <w:sz w:val="22"/>
          <w:szCs w:val="22"/>
        </w:rPr>
        <w:t xml:space="preserve">Scope: Assessment of high-risk processing activities (health data, location tracking 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Mitigation Measures: Documentation of controls to address identified risks</w:t>
      </w:r>
      <w:r>
        <w:rPr>
          <w:sz w:val="22"/>
          <w:szCs w:val="22"/>
        </w:rPr>
        <w:t xml:space="preserve">Mitigation Measures: Documentation of controls to address identified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Notification: Results available for competent data protection authorities upon request</w:t>
      </w:r>
      <w:r>
        <w:rPr>
          <w:sz w:val="22"/>
          <w:szCs w:val="22"/>
        </w:rPr>
        <w:t xml:space="preserve">Regulatory Notification: Results available for competent data protection authorities upon request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4. INSURANCE &amp; LIABILITY</w:t>
      </w:r>
      <w:r>
        <w:rPr>
          <w:b/>
          <w:bCs/>
          <w:color w:val="C9963C"/>
          <w:sz w:val="44"/>
          <w:szCs w:val="44"/>
        </w:rPr>
        <w:t xml:space="preserve">4. INSURANCE &amp; LIABILITY</w:t>
      </w:r>
    </w:p>
    <w:p>
      <w:pPr>
        <w:spacing w:after="100"/>
      </w:pPr>
      <w:r>
        <w:t xml:space="preserve">Comprehensive insurance coverage protects all stakeholders and manages liability risks inherent in elderly care services.</w:t>
      </w:r>
      <w:r>
        <w:rPr>
          <w:b w:val="false"/>
          <w:bCs w:val="false"/>
          <w:sz w:val="22"/>
          <w:szCs w:val="22"/>
        </w:rPr>
        <w:t xml:space="preserve">Comprehensive insurance coverage protects all stakeholders and manages liability risks inherent in elderly care services.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Companion Liability Insurance (Haftpflichtversicherung)</w:t>
      </w:r>
      <w:r>
        <w:rPr>
          <w:b/>
          <w:bCs/>
          <w:color w:val="C9963C"/>
          <w:sz w:val="32"/>
          <w:szCs w:val="32"/>
        </w:rPr>
        <w:t xml:space="preserve">Companion Liability Insurance (Haftpflichtversicherung)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Mandatory Coverage: All active companions required to maintain liability insurance</w:t>
      </w:r>
      <w:r>
        <w:rPr>
          <w:sz w:val="22"/>
          <w:szCs w:val="22"/>
        </w:rPr>
        <w:t xml:space="preserve">Mandatory Coverage: All active companions required to maintain liability insurance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Provision by Platform: AlltagsEngel negotiating insurance framework covering all companions</w:t>
      </w:r>
      <w:r>
        <w:rPr>
          <w:sz w:val="22"/>
          <w:szCs w:val="22"/>
        </w:rPr>
        <w:t xml:space="preserve">Provision by Platform: AlltagsEngel negotiating insurance framework covering all companions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Scope: Personal injury, property damage, and professional negligence claims</w:t>
      </w:r>
      <w:r>
        <w:rPr>
          <w:sz w:val="22"/>
          <w:szCs w:val="22"/>
        </w:rPr>
        <w:t xml:space="preserve">Coverage Scope: Personal injury, property damage, and professional negligence claims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Limits: To be finalized during insurance negotiations (typical: €5-10 million per incident)</w:t>
      </w:r>
      <w:r>
        <w:rPr>
          <w:sz w:val="22"/>
          <w:szCs w:val="22"/>
        </w:rPr>
        <w:t xml:space="preserve">Minimum Limits: To be finalized during insurance negotiations (typical: €5-10 million per incident)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Platform Liability Considerations</w:t>
      </w:r>
      <w:r>
        <w:rPr>
          <w:b/>
          <w:bCs/>
          <w:color w:val="C9963C"/>
          <w:sz w:val="32"/>
          <w:szCs w:val="32"/>
        </w:rPr>
        <w:t xml:space="preserve">Platform Liability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Liability: Platform provider liability for platform-related incidents</w:t>
      </w:r>
      <w:r>
        <w:rPr>
          <w:sz w:val="22"/>
          <w:szCs w:val="22"/>
        </w:rPr>
        <w:t xml:space="preserve">General Liability: Platform provider liability for platform-related incidents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Technology Liability: Coverage for system failures or data breaches</w:t>
      </w:r>
      <w:r>
        <w:rPr>
          <w:sz w:val="22"/>
          <w:szCs w:val="22"/>
        </w:rPr>
        <w:t xml:space="preserve">Technology Liability: Coverage for system failures or data breaches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Indemnity: Protection for business-related claims</w:t>
      </w:r>
      <w:r>
        <w:rPr>
          <w:sz w:val="22"/>
          <w:szCs w:val="22"/>
        </w:rPr>
        <w:t xml:space="preserve">Professional Indemnity: Protection for business-related claims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Cyber Insurance: Coverage for data breach response and notification costs</w:t>
      </w:r>
      <w:r>
        <w:rPr>
          <w:sz w:val="22"/>
          <w:szCs w:val="22"/>
        </w:rPr>
        <w:t xml:space="preserve">Cyber Insurance: Coverage for data breach response and notification costs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Professional Indemnity Coverage</w:t>
      </w:r>
      <w:r>
        <w:rPr>
          <w:b/>
          <w:bCs/>
          <w:color w:val="C9963C"/>
          <w:sz w:val="32"/>
          <w:szCs w:val="32"/>
        </w:rPr>
        <w:t xml:space="preserve">Professional Indemnity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Scope: Claims arising from advice or services provided through the platform</w:t>
      </w:r>
      <w:r>
        <w:rPr>
          <w:sz w:val="22"/>
          <w:szCs w:val="22"/>
        </w:rPr>
        <w:t xml:space="preserve">Scope: Claims arising from advice or services provided through the platform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Premium Allocation: To be reviewed following service launch and incident history</w:t>
      </w:r>
      <w:r>
        <w:rPr>
          <w:sz w:val="22"/>
          <w:szCs w:val="22"/>
        </w:rPr>
        <w:t xml:space="preserve">Premium Allocation: To be reviewed following service launch and incident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Claims Management: Dedicated process for incident reporting and claims handling</w:t>
      </w:r>
      <w:r>
        <w:rPr>
          <w:sz w:val="22"/>
          <w:szCs w:val="22"/>
        </w:rPr>
        <w:t xml:space="preserve">Claims Management: Dedicated process for incident reporting and claims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Review Cycle: Annual assessment of coverage adequacy based on operational experience</w:t>
      </w:r>
      <w:r>
        <w:rPr>
          <w:sz w:val="22"/>
          <w:szCs w:val="22"/>
        </w:rPr>
        <w:t xml:space="preserve">Insurance Review Cycle: Annual assessment of coverage adequacy based on operational experience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5. EMPLOYMENT LAW CONSIDERATIONS</w:t>
      </w:r>
      <w:r>
        <w:rPr>
          <w:b/>
          <w:bCs/>
          <w:color w:val="C9963C"/>
          <w:sz w:val="44"/>
          <w:szCs w:val="44"/>
        </w:rPr>
        <w:t xml:space="preserve">5. EMPLOYMENT LAW CONSIDERATIONS</w:t>
      </w:r>
    </w:p>
    <w:p>
      <w:pPr>
        <w:spacing w:after="100"/>
      </w:pPr>
      <w:r>
        <w:t xml:space="preserve">AlltagsEngel classifies companions as independent contractors rather than employees, subject to compliance with German labor law requirements.</w:t>
      </w:r>
      <w:r>
        <w:rPr>
          <w:b w:val="false"/>
          <w:bCs w:val="false"/>
          <w:sz w:val="22"/>
          <w:szCs w:val="22"/>
        </w:rPr>
        <w:t xml:space="preserve">AlltagsEngel classifies companions as independent contractors rather than employees, subject to compliance with German labor law requirements.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Independent Contractor Model</w:t>
      </w:r>
      <w:r>
        <w:rPr>
          <w:b/>
          <w:bCs/>
          <w:color w:val="C9963C"/>
          <w:sz w:val="32"/>
          <w:szCs w:val="32"/>
        </w:rPr>
        <w:t xml:space="preserve">Independent Contractor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Classification: Companions are self-employed service providers (Auftragnehmer)</w:t>
      </w:r>
      <w:r>
        <w:rPr>
          <w:sz w:val="22"/>
          <w:szCs w:val="22"/>
        </w:rPr>
        <w:t xml:space="preserve">Legal Classification: Companions are self-employed service providers (Auftragnehmer)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Agreements: Comprehensive terms of service establishing contractor relationship</w:t>
      </w:r>
      <w:r>
        <w:rPr>
          <w:sz w:val="22"/>
          <w:szCs w:val="22"/>
        </w:rPr>
        <w:t xml:space="preserve">Framework Agreements: Comprehensive terms of service establishing contractor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Scheinselbständigkeit Avoidance: Structural safeguards ensuring genuine independent contractor status</w:t>
      </w:r>
      <w:r>
        <w:rPr>
          <w:sz w:val="22"/>
          <w:szCs w:val="22"/>
        </w:rPr>
        <w:t xml:space="preserve">Scheinselbständigkeit Avoidance: Structural safeguards ensuring genuine independent contractor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 Limitations: Platform provides tools but does not dictate working methods or schedules</w:t>
      </w:r>
      <w:r>
        <w:rPr>
          <w:sz w:val="22"/>
          <w:szCs w:val="22"/>
        </w:rPr>
        <w:t xml:space="preserve">Control Limitations: Platform provides tools but does not dictate working methods or schedules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Criteria for Self-Employment Status</w:t>
      </w:r>
      <w:r>
        <w:rPr>
          <w:b/>
          <w:bCs/>
          <w:color w:val="C9963C"/>
          <w:sz w:val="32"/>
          <w:szCs w:val="32"/>
        </w:rPr>
        <w:t xml:space="preserve">Criteria for Self-Employment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Delivery: Companions determine their own working hours and service delivery methods</w:t>
      </w:r>
      <w:r>
        <w:rPr>
          <w:sz w:val="22"/>
          <w:szCs w:val="22"/>
        </w:rPr>
        <w:t xml:space="preserve">Service Delivery: Companions determine their own working hours and service delivery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Relationships: Companions build direct relationships with clients outside platform control</w:t>
      </w:r>
      <w:r>
        <w:rPr>
          <w:sz w:val="22"/>
          <w:szCs w:val="22"/>
        </w:rPr>
        <w:t xml:space="preserve">Client Relationships: Companions build direct relationships with clients outside platform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Income Generation: Companions compensated per service delivery with potential for multiple income sources</w:t>
      </w:r>
      <w:r>
        <w:rPr>
          <w:sz w:val="22"/>
          <w:szCs w:val="22"/>
        </w:rPr>
        <w:t xml:space="preserve">Income Generation: Companions compensated per service delivery with potential for multiple income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Allocation: Companions bear business risks including liability insurance and tax obligations</w:t>
      </w:r>
      <w:r>
        <w:rPr>
          <w:sz w:val="22"/>
          <w:szCs w:val="22"/>
        </w:rPr>
        <w:t xml:space="preserve">Risk Allocation: Companions bear business risks including liability insurance and tax obligations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Social Security &amp; Tax Implications</w:t>
      </w:r>
      <w:r>
        <w:rPr>
          <w:b/>
          <w:bCs/>
          <w:color w:val="C9963C"/>
          <w:sz w:val="32"/>
          <w:szCs w:val="32"/>
        </w:rPr>
        <w:t xml:space="preserve">Social Security &amp; Tax Implications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Self-Employment Registration: Each companion responsible for registering with tax authorities</w:t>
      </w:r>
      <w:r>
        <w:rPr>
          <w:sz w:val="22"/>
          <w:szCs w:val="22"/>
        </w:rPr>
        <w:t xml:space="preserve">Self-Employment Registration: Each companion responsible for registering with tax authorities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Insurance: Companions must secure their own social insurance (via Krankenkasse or Berufsgenossenschaft)</w:t>
      </w:r>
      <w:r>
        <w:rPr>
          <w:sz w:val="22"/>
          <w:szCs w:val="22"/>
        </w:rPr>
        <w:t xml:space="preserve">Social Insurance: Companions must secure their own social insurance (via Krankenkasse or Berufsgenossenschaft)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Kleinunternehmerregelung: Companions earning below €22,500 annually may qualify for small business exemption</w:t>
      </w:r>
      <w:r>
        <w:rPr>
          <w:sz w:val="22"/>
          <w:szCs w:val="22"/>
        </w:rPr>
        <w:t xml:space="preserve">Kleinunternehmerregelung: Companions earning below €22,500 annually may qualify for small business exemption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Tax Deductions: Companions entitled to deduct business expenses from income</w:t>
      </w:r>
      <w:r>
        <w:rPr>
          <w:sz w:val="22"/>
          <w:szCs w:val="22"/>
        </w:rPr>
        <w:t xml:space="preserve">Tax Deductions: Companions entitled to deduct business expenses from income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Platform Compliance Obligations</w:t>
      </w:r>
      <w:r>
        <w:rPr>
          <w:b/>
          <w:bCs/>
          <w:color w:val="C9963C"/>
          <w:sz w:val="32"/>
          <w:szCs w:val="32"/>
        </w:rPr>
        <w:t xml:space="preserve">Platform Compliance Obligations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Contractor Verification: Documentation of self-employment status and qualifications</w:t>
      </w:r>
      <w:r>
        <w:rPr>
          <w:sz w:val="22"/>
          <w:szCs w:val="22"/>
        </w:rPr>
        <w:t xml:space="preserve">Contractor Verification: Documentation of self-employment status and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Reporting: 1099-equivalent documentation (or German equivalent) for tax purposes</w:t>
      </w:r>
      <w:r>
        <w:rPr>
          <w:sz w:val="22"/>
          <w:szCs w:val="22"/>
        </w:rPr>
        <w:t xml:space="preserve">Payment Reporting: 1099-equivalent documentation (or German equivalent) for tax purposes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Verification: Confirmation of companion liability insurance before service activation</w:t>
      </w:r>
      <w:r>
        <w:rPr>
          <w:sz w:val="22"/>
          <w:szCs w:val="22"/>
        </w:rPr>
        <w:t xml:space="preserve">Insurance Verification: Confirmation of companion liability insurance before service activation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Employee Benefits: Explicit exclusion of employment benefits (health insurance, vacation, pension)</w:t>
      </w:r>
      <w:r>
        <w:rPr>
          <w:sz w:val="22"/>
          <w:szCs w:val="22"/>
        </w:rPr>
        <w:t xml:space="preserve">No Employee Benefits: Explicit exclusion of employment benefits (health insurance, vacation, pension)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6. INTELLECTUAL PROPERTY</w:t>
      </w:r>
      <w:r>
        <w:rPr>
          <w:b/>
          <w:bCs/>
          <w:color w:val="C9963C"/>
          <w:sz w:val="44"/>
          <w:szCs w:val="44"/>
        </w:rPr>
        <w:t xml:space="preserve">6. INTELLECTUAL PROPERTY</w:t>
      </w:r>
    </w:p>
    <w:p>
      <w:pPr>
        <w:spacing w:after="100"/>
      </w:pPr>
      <w:r>
        <w:t xml:space="preserve">AlltagsEngel protects its brand, technology, and intellectual property assets essential to business value.</w:t>
      </w:r>
      <w:r>
        <w:rPr>
          <w:b w:val="false"/>
          <w:bCs w:val="false"/>
          <w:sz w:val="22"/>
          <w:szCs w:val="22"/>
        </w:rPr>
        <w:t xml:space="preserve">AlltagsEngel protects its brand, technology, and intellectual property assets essential to business value.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Trademark Protection</w:t>
      </w:r>
      <w:r>
        <w:rPr>
          <w:b/>
          <w:bCs/>
          <w:color w:val="C9963C"/>
          <w:sz w:val="32"/>
          <w:szCs w:val="32"/>
        </w:rPr>
        <w:t xml:space="preserve">Trademark Protection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Mark: "AlltagsEngel"</w:t>
      </w:r>
      <w:r>
        <w:rPr>
          <w:sz w:val="22"/>
          <w:szCs w:val="22"/>
        </w:rPr>
        <w:t xml:space="preserve">Mark: "AlltagsEngel"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Status: Registration planned with EUIPO (European Union Intellectual Property Office)</w:t>
      </w:r>
      <w:r>
        <w:rPr>
          <w:sz w:val="22"/>
          <w:szCs w:val="22"/>
        </w:rPr>
        <w:t xml:space="preserve">Status: Registration planned with EUIPO (European Union Intellectual Property Office)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Scope: Technology, healthcare services, and related goods/services</w:t>
      </w:r>
      <w:r>
        <w:rPr>
          <w:sz w:val="22"/>
          <w:szCs w:val="22"/>
        </w:rPr>
        <w:t xml:space="preserve">Scope: Technology, healthcare services, and related goods/services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Classes: International Classification system coverage for platform services</w:t>
      </w:r>
      <w:r>
        <w:rPr>
          <w:sz w:val="22"/>
          <w:szCs w:val="22"/>
        </w:rPr>
        <w:t xml:space="preserve">Classes: International Classification system coverage for platform services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Software &amp; Codebase Ownership</w:t>
      </w:r>
      <w:r>
        <w:rPr>
          <w:b/>
          <w:bCs/>
          <w:color w:val="C9963C"/>
          <w:sz w:val="32"/>
          <w:szCs w:val="32"/>
        </w:rPr>
        <w:t xml:space="preserve">Software &amp; Codebase Ownership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Ownership: All software code exclusively owned by AlltagsEngel GmbH</w:t>
      </w:r>
      <w:r>
        <w:rPr>
          <w:sz w:val="22"/>
          <w:szCs w:val="22"/>
        </w:rPr>
        <w:t xml:space="preserve">Ownership: All software code exclusively owned by AlltagsEngel GmbH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Documentation: IP assignment agreements with all developers and contractors</w:t>
      </w:r>
      <w:r>
        <w:rPr>
          <w:sz w:val="22"/>
          <w:szCs w:val="22"/>
        </w:rPr>
        <w:t xml:space="preserve">Development Documentation: IP assignment agreements with all developers and contractors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Third-Party Libraries: Proper licensing compliance for open-source components</w:t>
      </w:r>
      <w:r>
        <w:rPr>
          <w:sz w:val="22"/>
          <w:szCs w:val="22"/>
        </w:rPr>
        <w:t xml:space="preserve">Third-Party Libraries: Proper licensing compliance for open-source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Source code protected with appropriate access controls and confidentiality measures</w:t>
      </w:r>
      <w:r>
        <w:rPr>
          <w:sz w:val="22"/>
          <w:szCs w:val="22"/>
        </w:rPr>
        <w:t xml:space="preserve">Security: Source code protected with appropriate access controls and confidentiality measures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Brand Identity Assets</w:t>
      </w:r>
      <w:r>
        <w:rPr>
          <w:b/>
          <w:bCs/>
          <w:color w:val="C9963C"/>
          <w:sz w:val="32"/>
          <w:szCs w:val="32"/>
        </w:rPr>
        <w:t xml:space="preserve">Brand Identity Assets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 &amp; Design: Professional brand identity assets registered and protected</w:t>
      </w:r>
      <w:r>
        <w:rPr>
          <w:sz w:val="22"/>
          <w:szCs w:val="22"/>
        </w:rPr>
        <w:t xml:space="preserve">Logo &amp; Design: Professional brand identity assets registered and protected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Usage Guidelines: Brand standards documented for consistent application</w:t>
      </w:r>
      <w:r>
        <w:rPr>
          <w:sz w:val="22"/>
          <w:szCs w:val="22"/>
        </w:rPr>
        <w:t xml:space="preserve">Usage Guidelines: Brand standards documented for consistent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 Materials: All marketing content subject to AlltagsEngel trademark and copyright</w:t>
      </w:r>
      <w:r>
        <w:rPr>
          <w:sz w:val="22"/>
          <w:szCs w:val="22"/>
        </w:rPr>
        <w:t xml:space="preserve">Marketing Materials: All marketing content subject to AlltagsEngel trademark and copyright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Requirements: Partners required to comply with brand usage terms</w:t>
      </w:r>
      <w:r>
        <w:rPr>
          <w:sz w:val="22"/>
          <w:szCs w:val="22"/>
        </w:rPr>
        <w:t xml:space="preserve">Partner Requirements: Partners required to comply with brand usage terms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Domain Names &amp; Digital Assets</w:t>
      </w:r>
      <w:r>
        <w:rPr>
          <w:b/>
          <w:bCs/>
          <w:color w:val="C9963C"/>
          <w:sz w:val="32"/>
          <w:szCs w:val="32"/>
        </w:rPr>
        <w:t xml:space="preserve">Domain Names &amp; Digital Assets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 Domain: Secured and registered under company control</w:t>
      </w:r>
      <w:r>
        <w:rPr>
          <w:sz w:val="22"/>
          <w:szCs w:val="22"/>
        </w:rPr>
        <w:t xml:space="preserve">Primary Domain: Secured and registered under company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Subsidiary Domains: Reserved for market expansion and services</w:t>
      </w:r>
      <w:r>
        <w:rPr>
          <w:sz w:val="22"/>
          <w:szCs w:val="22"/>
        </w:rPr>
        <w:t xml:space="preserve">Subsidiary Domains: Reserved for market expansion and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Media Accounts: Owned and controlled by AlltagsEngel</w:t>
      </w:r>
      <w:r>
        <w:rPr>
          <w:sz w:val="22"/>
          <w:szCs w:val="22"/>
        </w:rPr>
        <w:t xml:space="preserve">Social Media Accounts: Owned and controlled by AlltagsEngel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Rights: All platform content proprietary to company or properly licensed</w:t>
      </w:r>
      <w:r>
        <w:rPr>
          <w:sz w:val="22"/>
          <w:szCs w:val="22"/>
        </w:rPr>
        <w:t xml:space="preserve">Content Rights: All platform content proprietary to company or properly licensed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7. KEY CONTRACTS &amp; AGREEMENTS</w:t>
      </w:r>
      <w:r>
        <w:rPr>
          <w:b/>
          <w:bCs/>
          <w:color w:val="C9963C"/>
          <w:sz w:val="44"/>
          <w:szCs w:val="44"/>
        </w:rPr>
        <w:t xml:space="preserve">7. KEY CONTRACTS &amp; AGREEMENTS</w:t>
      </w:r>
    </w:p>
    <w:p>
      <w:pPr>
        <w:spacing w:after="100"/>
      </w:pPr>
      <w:r>
        <w:t xml:space="preserve">The following contracts establish legal relationships and govern platform operations:</w:t>
      </w:r>
      <w:r>
        <w:rPr>
          <w:b w:val="false"/>
          <w:bCs w:val="false"/>
          <w:sz w:val="22"/>
          <w:szCs w:val="22"/>
        </w:rPr>
        <w:t xml:space="preserve">The following contracts establish legal relationships and govern platform operations: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0F0F0"/>
          </w:tcPr>
          <w:p>
            <w:r>
              <w:t xml:space="preserve">Document</w:t>
            </w:r>
            <w:r>
              <w:rPr>
                <w:b/>
                <w:bCs/>
                <w:color w:val="C9963C"/>
                <w:sz w:val="22"/>
                <w:szCs w:val="22"/>
              </w:rPr>
              <w:t xml:space="preserve">Document</w:t>
            </w:r>
          </w:p>
        </w:tc>
        <w:tc>
          <w:tcPr>
            <w:tcW w:type="pct" w:w="20%"/>
            <w:shd w:fill="F0F0F0"/>
          </w:tcPr>
          <w:p>
            <w:r>
              <w:t xml:space="preserve">Status</w:t>
            </w:r>
            <w:r>
              <w:rPr>
                <w:b/>
                <w:bCs/>
                <w:color w:val="C9963C"/>
                <w:sz w:val="22"/>
                <w:szCs w:val="22"/>
              </w:rPr>
              <w:t xml:space="preserve">Status</w:t>
            </w:r>
          </w:p>
        </w:tc>
        <w:tc>
          <w:tcPr>
            <w:tcW w:type="pct" w:w="55%"/>
            <w:shd w:fill="F0F0F0"/>
          </w:tcPr>
          <w:p>
            <w:r>
              <w:t xml:space="preserve">Description</w:t>
            </w:r>
            <w:r>
              <w:rPr>
                <w:b/>
                <w:bCs/>
                <w:color w:val="C9963C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t xml:space="preserve">Terms of Service (User)</w:t>
            </w:r>
            <w:r>
              <w:rPr>
                <w:sz w:val="22"/>
                <w:szCs w:val="22"/>
              </w:rPr>
              <w:t xml:space="preserve">Terms of Service (User)</w:t>
            </w:r>
          </w:p>
        </w:tc>
        <w:tc>
          <w:tcPr>
            <w:tcW w:type="pct" w:w="20%"/>
          </w:tcPr>
          <w:p>
            <w:r>
              <w:t xml:space="preserve">Draft</w:t>
            </w:r>
            <w:r>
              <w:rPr>
                <w:sz w:val="22"/>
                <w:szCs w:val="22"/>
              </w:rPr>
              <w:t xml:space="preserve">Draft</w:t>
            </w:r>
          </w:p>
        </w:tc>
        <w:tc>
          <w:tcPr>
            <w:tcW w:type="pct" w:w="55%"/>
          </w:tcPr>
          <w:p>
            <w:r>
              <w:t xml:space="preserve">Defines terms of platform access for elderly users and family members</w:t>
            </w:r>
            <w:r>
              <w:rPr>
                <w:sz w:val="22"/>
                <w:szCs w:val="22"/>
              </w:rPr>
              <w:t xml:space="preserve">Defines terms of platform access for elderly users and family members</w:t>
            </w:r>
          </w:p>
        </w:tc>
      </w:tr>
      <w:tr>
        <w:tc>
          <w:tcPr>
            <w:tcW w:type="pct" w:w="25%"/>
          </w:tcPr>
          <w:p>
            <w:r>
              <w:t xml:space="preserve">Terms of Service (Companion)</w:t>
            </w:r>
            <w:r>
              <w:rPr>
                <w:sz w:val="22"/>
                <w:szCs w:val="22"/>
              </w:rPr>
              <w:t xml:space="preserve">Terms of Service (Companion)</w:t>
            </w:r>
          </w:p>
        </w:tc>
        <w:tc>
          <w:tcPr>
            <w:tcW w:type="pct" w:w="20%"/>
          </w:tcPr>
          <w:p>
            <w:r>
              <w:t xml:space="preserve">Draft</w:t>
            </w:r>
            <w:r>
              <w:rPr>
                <w:sz w:val="22"/>
                <w:szCs w:val="22"/>
              </w:rPr>
              <w:t xml:space="preserve">Draft</w:t>
            </w:r>
          </w:p>
        </w:tc>
        <w:tc>
          <w:tcPr>
            <w:tcW w:type="pct" w:w="55%"/>
          </w:tcPr>
          <w:p>
            <w:r>
              <w:t xml:space="preserve">Establishes independent contractor relationship and service provider obligations</w:t>
            </w:r>
            <w:r>
              <w:rPr>
                <w:sz w:val="22"/>
                <w:szCs w:val="22"/>
              </w:rPr>
              <w:t xml:space="preserve">Establishes independent contractor relationship and service provider obligations</w:t>
            </w:r>
          </w:p>
        </w:tc>
      </w:tr>
      <w:tr>
        <w:tc>
          <w:tcPr>
            <w:tcW w:type="pct" w:w="25%"/>
          </w:tcPr>
          <w:p>
            <w:r>
              <w:t xml:space="preserve">Privacy Policy</w:t>
            </w:r>
            <w:r>
              <w:rPr>
                <w:sz w:val="22"/>
                <w:szCs w:val="22"/>
              </w:rPr>
              <w:t xml:space="preserve">Privacy Policy</w:t>
            </w:r>
          </w:p>
        </w:tc>
        <w:tc>
          <w:tcPr>
            <w:tcW w:type="pct" w:w="20%"/>
          </w:tcPr>
          <w:p>
            <w:r>
              <w:t xml:space="preserve">Draft</w:t>
            </w:r>
            <w:r>
              <w:rPr>
                <w:sz w:val="22"/>
                <w:szCs w:val="22"/>
              </w:rPr>
              <w:t xml:space="preserve">Draft</w:t>
            </w:r>
          </w:p>
        </w:tc>
        <w:tc>
          <w:tcPr>
            <w:tcW w:type="pct" w:w="55%"/>
          </w:tcPr>
          <w:p>
            <w:r>
              <w:t xml:space="preserve">GDPR-compliant notice of data processing practices and user rights</w:t>
            </w:r>
            <w:r>
              <w:rPr>
                <w:sz w:val="22"/>
                <w:szCs w:val="22"/>
              </w:rPr>
              <w:t xml:space="preserve">GDPR-compliant notice of data processing practices and user rights</w:t>
            </w:r>
          </w:p>
        </w:tc>
      </w:tr>
      <w:tr>
        <w:tc>
          <w:tcPr>
            <w:tcW w:type="pct" w:w="25%"/>
          </w:tcPr>
          <w:p>
            <w:r>
              <w:t xml:space="preserve">Data Processing Agreement</w:t>
            </w:r>
            <w:r>
              <w:rPr>
                <w:sz w:val="22"/>
                <w:szCs w:val="22"/>
              </w:rPr>
              <w:t xml:space="preserve">Data Processing Agreement</w:t>
            </w:r>
          </w:p>
        </w:tc>
        <w:tc>
          <w:tcPr>
            <w:tcW w:type="pct" w:w="20%"/>
          </w:tcPr>
          <w:p>
            <w:r>
              <w:t xml:space="preserve">Planned</w:t>
            </w:r>
            <w:r>
              <w:rPr>
                <w:sz w:val="22"/>
                <w:szCs w:val="22"/>
              </w:rPr>
              <w:t xml:space="preserve">Planned</w:t>
            </w:r>
          </w:p>
        </w:tc>
        <w:tc>
          <w:tcPr>
            <w:tcW w:type="pct" w:w="55%"/>
          </w:tcPr>
          <w:p>
            <w:r>
              <w:t xml:space="preserve">Establishes data processor obligations with third-party service providers</w:t>
            </w:r>
            <w:r>
              <w:rPr>
                <w:sz w:val="22"/>
                <w:szCs w:val="22"/>
              </w:rPr>
              <w:t xml:space="preserve">Establishes data processor obligations with third-party service providers</w:t>
            </w:r>
          </w:p>
        </w:tc>
      </w:tr>
      <w:tr>
        <w:tc>
          <w:tcPr>
            <w:tcW w:type="pct" w:w="25%"/>
          </w:tcPr>
          <w:p>
            <w:r>
              <w:t xml:space="preserve">Insurance Framework</w:t>
            </w:r>
            <w:r>
              <w:rPr>
                <w:sz w:val="22"/>
                <w:szCs w:val="22"/>
              </w:rPr>
              <w:t xml:space="preserve">Insurance Framework</w:t>
            </w:r>
          </w:p>
        </w:tc>
        <w:tc>
          <w:tcPr>
            <w:tcW w:type="pct" w:w="20%"/>
          </w:tcPr>
          <w:p>
            <w:r>
              <w:t xml:space="preserve">In Negotiation</w:t>
            </w:r>
            <w:r>
              <w:rPr>
                <w:sz w:val="22"/>
                <w:szCs w:val="22"/>
              </w:rPr>
              <w:t xml:space="preserve">In Negotiation</w:t>
            </w:r>
          </w:p>
        </w:tc>
        <w:tc>
          <w:tcPr>
            <w:tcW w:type="pct" w:w="55%"/>
          </w:tcPr>
          <w:p>
            <w:r>
              <w:t xml:space="preserve">Master agreement for companion liability insurance program</w:t>
            </w:r>
            <w:r>
              <w:rPr>
                <w:sz w:val="22"/>
                <w:szCs w:val="22"/>
              </w:rPr>
              <w:t xml:space="preserve">Master agreement for companion liability insurance program</w:t>
            </w:r>
          </w:p>
        </w:tc>
      </w:tr>
      <w:tr>
        <w:tc>
          <w:tcPr>
            <w:tcW w:type="pct" w:w="25%"/>
          </w:tcPr>
          <w:p>
            <w:r>
              <w:t xml:space="preserve">§45b Recognition Application</w:t>
            </w:r>
            <w:r>
              <w:rPr>
                <w:sz w:val="22"/>
                <w:szCs w:val="22"/>
              </w:rPr>
              <w:t xml:space="preserve">§45b Recognition Application</w:t>
            </w:r>
          </w:p>
        </w:tc>
        <w:tc>
          <w:tcPr>
            <w:tcW w:type="pct" w:w="20%"/>
          </w:tcPr>
          <w:p>
            <w:r>
              <w:t xml:space="preserve">Planned</w:t>
            </w:r>
            <w:r>
              <w:rPr>
                <w:sz w:val="22"/>
                <w:szCs w:val="22"/>
              </w:rPr>
              <w:t xml:space="preserve">Planned</w:t>
            </w:r>
          </w:p>
        </w:tc>
        <w:tc>
          <w:tcPr>
            <w:tcW w:type="pct" w:w="55%"/>
          </w:tcPr>
          <w:p>
            <w:r>
              <w:t xml:space="preserve">Applications to state authorities for relief services recognition</w:t>
            </w:r>
            <w:r>
              <w:rPr>
                <w:sz w:val="22"/>
                <w:szCs w:val="22"/>
              </w:rPr>
              <w:t xml:space="preserve">Applications to state authorities for relief services recognition</w:t>
            </w:r>
          </w:p>
        </w:tc>
      </w:tr>
    </w:tbl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8. COMPLIANCE ROADMAP</w:t>
      </w:r>
      <w:r>
        <w:rPr>
          <w:b/>
          <w:bCs/>
          <w:color w:val="C9963C"/>
          <w:sz w:val="44"/>
          <w:szCs w:val="44"/>
        </w:rPr>
        <w:t xml:space="preserve">8. COMPLIANCE ROADMAP</w:t>
      </w:r>
    </w:p>
    <w:p>
      <w:pPr>
        <w:spacing w:after="100"/>
      </w:pPr>
      <w:r>
        <w:t xml:space="preserve">AlltagsEngel follows a phased approach to establish and maintain regulatory compliance across all jurisdictions.</w:t>
      </w:r>
      <w:r>
        <w:rPr>
          <w:b w:val="false"/>
          <w:bCs w:val="false"/>
          <w:sz w:val="22"/>
          <w:szCs w:val="22"/>
        </w:rPr>
        <w:t xml:space="preserve">AlltagsEngel follows a phased approach to establish and maintain regulatory compliance across all jurisdictions.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Pre-Launch Phase (Q1-Q2 2025)</w:t>
      </w:r>
      <w:r>
        <w:rPr>
          <w:b/>
          <w:bCs/>
          <w:color w:val="C9963C"/>
          <w:sz w:val="32"/>
          <w:szCs w:val="32"/>
        </w:rPr>
        <w:t xml:space="preserve">Pre-Launch Phase (Q1-Q2 2025)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GmbH Incorporation: Complete entity formation with €25,000 share capital</w:t>
      </w:r>
      <w:r>
        <w:rPr>
          <w:sz w:val="22"/>
          <w:szCs w:val="22"/>
        </w:rPr>
        <w:t xml:space="preserve">GmbH Incorporation: Complete entity formation with €25,000 share capital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Trademark Filing: Submit "AlltagsEngel" trademark application to EUIPO</w:t>
      </w:r>
      <w:r>
        <w:rPr>
          <w:sz w:val="22"/>
          <w:szCs w:val="22"/>
        </w:rPr>
        <w:t xml:space="preserve">Trademark Filing: Submit "AlltagsEngel" trademark application to EUIPO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Setup: Finalize insurance agreements with provider for companion coverage</w:t>
      </w:r>
      <w:r>
        <w:rPr>
          <w:sz w:val="22"/>
          <w:szCs w:val="22"/>
        </w:rPr>
        <w:t xml:space="preserve">Insurance Setup: Finalize insurance agreements with provider for companion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Documentation: Finalize Terms of Service, Privacy Policy, and Data Processing Agreements</w:t>
      </w:r>
      <w:r>
        <w:rPr>
          <w:sz w:val="22"/>
          <w:szCs w:val="22"/>
        </w:rPr>
        <w:t xml:space="preserve">Legal Documentation: Finalize Terms of Service, Privacy Policy, and Data Processing Agreements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Liaison: Establish contacts with pilot state health and social authorities</w:t>
      </w:r>
      <w:r>
        <w:rPr>
          <w:sz w:val="22"/>
          <w:szCs w:val="22"/>
        </w:rPr>
        <w:t xml:space="preserve">Regulatory Liaison: Establish contacts with pilot state health and social authorities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Launch Phase (Q3 2025)</w:t>
      </w:r>
      <w:r>
        <w:rPr>
          <w:b/>
          <w:bCs/>
          <w:color w:val="C9963C"/>
          <w:sz w:val="32"/>
          <w:szCs w:val="32"/>
        </w:rPr>
        <w:t xml:space="preserve">Launch Phase (Q3 2025)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 Finalization: Legal review and execution of user and companion ToS</w:t>
      </w:r>
      <w:r>
        <w:rPr>
          <w:sz w:val="22"/>
          <w:szCs w:val="22"/>
        </w:rPr>
        <w:t xml:space="preserve">Terms of Service Finalization: Legal review and execution of user and companion 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Compliance: Complete DPIA and finalize GDPR-compliant privacy controls</w:t>
      </w:r>
      <w:r>
        <w:rPr>
          <w:sz w:val="22"/>
          <w:szCs w:val="22"/>
        </w:rPr>
        <w:t xml:space="preserve">Privacy Compliance: Complete DPIA and finalize GDPR-compliant privacy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State Recognition: Submit §45b recognition application to pilot state authority</w:t>
      </w:r>
      <w:r>
        <w:rPr>
          <w:sz w:val="22"/>
          <w:szCs w:val="22"/>
        </w:rPr>
        <w:t xml:space="preserve">Pilot State Recognition: Submit §45b recognition application to pilot state authority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Activation: Activate companion liability insurance program at service launch</w:t>
      </w:r>
      <w:r>
        <w:rPr>
          <w:sz w:val="22"/>
          <w:szCs w:val="22"/>
        </w:rPr>
        <w:t xml:space="preserve">Insurance Activation: Activate companion liability insurance program at service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 Monitoring: Implement initial compliance monitoring and incident reporting</w:t>
      </w:r>
      <w:r>
        <w:rPr>
          <w:sz w:val="22"/>
          <w:szCs w:val="22"/>
        </w:rPr>
        <w:t xml:space="preserve">Compliance Monitoring: Implement initial compliance monitoring and incident reporting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Growth Phase (Q4 2025 - Q2 2026)</w:t>
      </w:r>
      <w:r>
        <w:rPr>
          <w:b/>
          <w:bCs/>
          <w:color w:val="C9963C"/>
          <w:sz w:val="32"/>
          <w:szCs w:val="32"/>
        </w:rPr>
        <w:t xml:space="preserve">Growth Phase (Q4 2025 - Q2 2026)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Multi-State Expansion: Obtain §45b recognition in additional federal states</w:t>
      </w:r>
      <w:r>
        <w:rPr>
          <w:sz w:val="22"/>
          <w:szCs w:val="22"/>
        </w:rPr>
        <w:t xml:space="preserve">Multi-State Expansion: Obtain §45b recognition in additional federal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 System: Establish dedicated compliance monitoring system</w:t>
      </w:r>
      <w:r>
        <w:rPr>
          <w:sz w:val="22"/>
          <w:szCs w:val="22"/>
        </w:rPr>
        <w:t xml:space="preserve">Compliance System: Establish dedicated compliance monitoring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Certification Tracking: Implement automated companion certification verification</w:t>
      </w:r>
      <w:r>
        <w:rPr>
          <w:sz w:val="22"/>
          <w:szCs w:val="22"/>
        </w:rPr>
        <w:t xml:space="preserve">Certification Tracking: Implement automated companion certification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Relationships: Build ongoing engagement with state regulatory bodies</w:t>
      </w:r>
      <w:r>
        <w:rPr>
          <w:sz w:val="22"/>
          <w:szCs w:val="22"/>
        </w:rPr>
        <w:t xml:space="preserve">Regulatory Relationships: Build ongoing engagement with state regulatory bodies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Management: Establish formal incident reporting and management processes</w:t>
      </w:r>
      <w:r>
        <w:rPr>
          <w:sz w:val="22"/>
          <w:szCs w:val="22"/>
        </w:rPr>
        <w:t xml:space="preserve">Incident Management: Establish formal incident reporting and management processes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Scale Phase (2026+)</w:t>
      </w:r>
      <w:r>
        <w:rPr>
          <w:b/>
          <w:bCs/>
          <w:color w:val="C9963C"/>
          <w:sz w:val="32"/>
          <w:szCs w:val="32"/>
        </w:rPr>
        <w:t xml:space="preserve">Scale Phase (2026+)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Audits: Conduct annual internal and external compliance audits</w:t>
      </w:r>
      <w:r>
        <w:rPr>
          <w:sz w:val="22"/>
          <w:szCs w:val="22"/>
        </w:rPr>
        <w:t xml:space="preserve">Annual Audits: Conduct annual internal and external compliance audits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Review: Maintain compliance with evolving regulatory landscape</w:t>
      </w:r>
      <w:r>
        <w:rPr>
          <w:sz w:val="22"/>
          <w:szCs w:val="22"/>
        </w:rPr>
        <w:t xml:space="preserve">Regulatory Review: Maintain compliance with evolving regulatory landscape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Expansion: Expand to all states requiring formal recognition</w:t>
      </w:r>
      <w:r>
        <w:rPr>
          <w:sz w:val="22"/>
          <w:szCs w:val="22"/>
        </w:rPr>
        <w:t xml:space="preserve">Coverage Expansion: Expand to all states requiring formal recognition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 Enhancement: Strengthen governance structure as organization grows</w:t>
      </w:r>
      <w:r>
        <w:rPr>
          <w:sz w:val="22"/>
          <w:szCs w:val="22"/>
        </w:rPr>
        <w:t xml:space="preserve">Governance Enhancement: Strengthen governance structure as organization grows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Practices: Implement industry best practices in compliance management</w:t>
      </w:r>
      <w:r>
        <w:rPr>
          <w:sz w:val="22"/>
          <w:szCs w:val="22"/>
        </w:rPr>
        <w:t xml:space="preserve">Best Practices: Implement industry best practices in compliance management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</w:p>
    <w:p>
      <w:pPr>
        <w:pStyle w:val="Heading2"/>
        <w:spacing w:after="100" w:before="200"/>
      </w:pPr>
      <w:r>
        <w:t xml:space="preserve">9. RISK MITIGATION</w:t>
      </w:r>
      <w:r>
        <w:rPr>
          <w:b/>
          <w:bCs/>
          <w:color w:val="C9963C"/>
          <w:sz w:val="44"/>
          <w:szCs w:val="44"/>
        </w:rPr>
        <w:t xml:space="preserve">9. RISK MITIGATION</w:t>
      </w:r>
    </w:p>
    <w:p>
      <w:pPr>
        <w:spacing w:after="100"/>
      </w:pPr>
      <w:r>
        <w:t xml:space="preserve">AlltagsEngel implements proactive measures to identify, monitor, and mitigate legal and compliance risks.</w:t>
      </w:r>
      <w:r>
        <w:rPr>
          <w:b w:val="false"/>
          <w:bCs w:val="false"/>
          <w:sz w:val="22"/>
          <w:szCs w:val="22"/>
        </w:rPr>
        <w:t xml:space="preserve">AlltagsEngel implements proactive measures to identify, monitor, and mitigate legal and compliance risks.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Regulatory Change Monitoring</w:t>
      </w:r>
      <w:r>
        <w:rPr>
          <w:b/>
          <w:bCs/>
          <w:color w:val="C9963C"/>
          <w:sz w:val="32"/>
          <w:szCs w:val="32"/>
        </w:rPr>
        <w:t xml:space="preserve">Regulatory Change Monitoring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Scanning: Continuous monitoring of German federal and state regulatory changes</w:t>
      </w:r>
      <w:r>
        <w:rPr>
          <w:sz w:val="22"/>
          <w:szCs w:val="22"/>
        </w:rPr>
        <w:t xml:space="preserve">Regulatory Scanning: Continuous monitoring of German federal and state regulatory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Industry Groups: Participation in elderly care and digital health industry associations</w:t>
      </w:r>
      <w:r>
        <w:rPr>
          <w:sz w:val="22"/>
          <w:szCs w:val="22"/>
        </w:rPr>
        <w:t xml:space="preserve">Industry Groups: Participation in elderly care and digital health industry associations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Government Relations: Proactive engagement with regulatory authorities</w:t>
      </w:r>
      <w:r>
        <w:rPr>
          <w:sz w:val="22"/>
          <w:szCs w:val="22"/>
        </w:rPr>
        <w:t xml:space="preserve">Government Relations: Proactive engagement with regulatory authorities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Alerts: Subscription to regulatory update services for timely notification</w:t>
      </w:r>
      <w:r>
        <w:rPr>
          <w:sz w:val="22"/>
          <w:szCs w:val="22"/>
        </w:rPr>
        <w:t xml:space="preserve">Legal Alerts: Subscription to regulatory update services for timely notification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Legal Counsel Engagement</w:t>
      </w:r>
      <w:r>
        <w:rPr>
          <w:b/>
          <w:bCs/>
          <w:color w:val="C9963C"/>
          <w:sz w:val="32"/>
          <w:szCs w:val="32"/>
        </w:rPr>
        <w:t xml:space="preserve">Legal Counsel Engagement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Counsel: Retained counsel specializing in German healthcare and social care law</w:t>
      </w:r>
      <w:r>
        <w:rPr>
          <w:sz w:val="22"/>
          <w:szCs w:val="22"/>
        </w:rPr>
        <w:t xml:space="preserve">External Counsel: Retained counsel specializing in German healthcare and social care law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Expert: Legal advisor with expertise in SGB XI and state-level regulations</w:t>
      </w:r>
      <w:r>
        <w:rPr>
          <w:sz w:val="22"/>
          <w:szCs w:val="22"/>
        </w:rPr>
        <w:t xml:space="preserve">Regulatory Expert: Legal advisor with expertise in SGB XI and state-level regulations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Protection: GDPR specialist for privacy and data protection advice</w:t>
      </w:r>
      <w:r>
        <w:rPr>
          <w:sz w:val="22"/>
          <w:szCs w:val="22"/>
        </w:rPr>
        <w:t xml:space="preserve">Data Protection: GDPR specialist for privacy and data protection advice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Advisory Board: Quarterly legal review of compliance posture</w:t>
      </w:r>
      <w:r>
        <w:rPr>
          <w:sz w:val="22"/>
          <w:szCs w:val="22"/>
        </w:rPr>
        <w:t xml:space="preserve">Advisory Board: Quarterly legal review of compliance posture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Compliance Officer Appointment</w:t>
      </w:r>
      <w:r>
        <w:rPr>
          <w:b/>
          <w:bCs/>
          <w:color w:val="C9963C"/>
          <w:sz w:val="32"/>
          <w:szCs w:val="32"/>
        </w:rPr>
        <w:t xml:space="preserve">Compliance Officer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Role: Dedicated compliance officer to oversee regulatory adherence</w:t>
      </w:r>
      <w:r>
        <w:rPr>
          <w:sz w:val="22"/>
          <w:szCs w:val="22"/>
        </w:rPr>
        <w:t xml:space="preserve">Role: Dedicated compliance officer to oversee regulatory adherence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Timeline: Appointment planned during growth phase (Q4 2025)</w:t>
      </w:r>
      <w:r>
        <w:rPr>
          <w:sz w:val="22"/>
          <w:szCs w:val="22"/>
        </w:rPr>
        <w:t xml:space="preserve">Timeline: Appointment planned during growth phase (Q4 2025)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Responsibilities: Regulatory monitoring, policy development, and incident management</w:t>
      </w:r>
      <w:r>
        <w:rPr>
          <w:sz w:val="22"/>
          <w:szCs w:val="22"/>
        </w:rPr>
        <w:t xml:space="preserve">Responsibilities: Regulatory monitoring, policy development, and incident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Reporting: Direct reporting to management and board regarding compliance status</w:t>
      </w:r>
      <w:r>
        <w:rPr>
          <w:sz w:val="22"/>
          <w:szCs w:val="22"/>
        </w:rPr>
        <w:t xml:space="preserve">Reporting: Direct reporting to management and board regarding compliance status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Annual Compliance Review Process</w:t>
      </w:r>
      <w:r>
        <w:rPr>
          <w:b/>
          <w:bCs/>
          <w:color w:val="C9963C"/>
          <w:sz w:val="32"/>
          <w:szCs w:val="32"/>
        </w:rPr>
        <w:t xml:space="preserve">Annual Compliance Review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Cycle: Comprehensive annual compliance audit by external auditors</w:t>
      </w:r>
      <w:r>
        <w:rPr>
          <w:sz w:val="22"/>
          <w:szCs w:val="22"/>
        </w:rPr>
        <w:t xml:space="preserve">Audit Cycle: Comprehensive annual compliance audit by external auditors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Policy Review: Annual review and update of all compliance policies</w:t>
      </w:r>
      <w:r>
        <w:rPr>
          <w:sz w:val="22"/>
          <w:szCs w:val="22"/>
        </w:rPr>
        <w:t xml:space="preserve">Policy Review: Annual review and update of all compliance policies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Training: Annual compliance training for all employees and contractors</w:t>
      </w:r>
      <w:r>
        <w:rPr>
          <w:sz w:val="22"/>
          <w:szCs w:val="22"/>
        </w:rPr>
        <w:t xml:space="preserve">Training: Annual compliance training for all employees and contractors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Analysis: Review of all incidents and implementation of corrective measures</w:t>
      </w:r>
      <w:r>
        <w:rPr>
          <w:sz w:val="22"/>
          <w:szCs w:val="22"/>
        </w:rPr>
        <w:t xml:space="preserve">Incident Analysis: Review of all incidents and implementation of corrective measures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Alignment: Assessment of compliance with new and updated regulations</w:t>
      </w:r>
      <w:r>
        <w:rPr>
          <w:sz w:val="22"/>
          <w:szCs w:val="22"/>
        </w:rPr>
        <w:t xml:space="preserve">Regulatory Alignment: Assessment of compliance with new and updated regulations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Quality Assurance Measures</w:t>
      </w:r>
      <w:r>
        <w:rPr>
          <w:b/>
          <w:bCs/>
          <w:color w:val="C9963C"/>
          <w:sz w:val="32"/>
          <w:szCs w:val="32"/>
        </w:rPr>
        <w:t xml:space="preserve">Quality Assurance Measures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Companion Vetting: Thorough vetting process including qualification verification</w:t>
      </w:r>
      <w:r>
        <w:rPr>
          <w:sz w:val="22"/>
          <w:szCs w:val="22"/>
        </w:rPr>
        <w:t xml:space="preserve">Companion Vetting: Thorough vetting process including qualification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Feedback: Regular collection and review of user feedback and complaints</w:t>
      </w:r>
      <w:r>
        <w:rPr>
          <w:sz w:val="22"/>
          <w:szCs w:val="22"/>
        </w:rPr>
        <w:t xml:space="preserve">User Feedback: Regular collection and review of user feedback and complaints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Monitoring: Periodic assessment of companion service quality and compliance</w:t>
      </w:r>
      <w:r>
        <w:rPr>
          <w:sz w:val="22"/>
          <w:szCs w:val="22"/>
        </w:rPr>
        <w:t xml:space="preserve">Service Monitoring: Periodic assessment of companion service quality and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Comprehensive records management for all regulatory compliance activities</w:t>
      </w:r>
      <w:r>
        <w:rPr>
          <w:sz w:val="22"/>
          <w:szCs w:val="22"/>
        </w:rPr>
        <w:t xml:space="preserve">Documentation: Comprehensive records management for all regulatory compliance activities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400"/>
      </w:pPr>
    </w:p>
    <w:p>
      <w:pPr>
        <w:pStyle w:val="Heading2"/>
        <w:spacing w:after="100" w:before="200"/>
      </w:pPr>
      <w:r>
        <w:t xml:space="preserve">CONCLUSION</w:t>
      </w:r>
      <w:r>
        <w:rPr>
          <w:b/>
          <w:bCs/>
          <w:color w:val="C9963C"/>
          <w:sz w:val="44"/>
          <w:szCs w:val="44"/>
        </w:rPr>
        <w:t xml:space="preserve">CONCLUSION</w:t>
      </w:r>
    </w:p>
    <w:p>
      <w:pPr>
        <w:spacing w:after="100"/>
      </w:pPr>
      <w:r>
        <w:t xml:space="preserve">AlltagsEngel is committed to operating as a fully compliant, trustworthy platform serving elderly care in Germany. Through comprehensive legal structure, regulatory engagement, data protection, insurance coverage, and continuous compliance monitoring, the company mitigates risks while building a sustainable business serving a critical social need.</w:t>
      </w:r>
      <w:r>
        <w:rPr>
          <w:b w:val="false"/>
          <w:bCs w:val="false"/>
          <w:sz w:val="22"/>
          <w:szCs w:val="22"/>
        </w:rPr>
        <w:t xml:space="preserve">AlltagsEngel is committed to operating as a fully compliant, trustworthy platform serving elderly care in Germany. Through comprehensive legal structure, regulatory engagement, data protection, insurance coverage, and continuous compliance monitoring, the company mitigates risks while building a sustainable business serving a critical social need.</w:t>
      </w:r>
    </w:p>
    <w:p>
      <w:pPr>
        <w:spacing w:after="200"/>
      </w:pPr>
    </w:p>
    <w:p>
      <w:pPr>
        <w:spacing w:after="100"/>
      </w:pPr>
      <w:r>
        <w:t xml:space="preserve">This Legal &amp; Compliance Summary demonstrates AlltagsEngel's commitment to regulatory excellence and investor confidence. Regular updates to this document will reflect evolving regulatory requirements and operational experience.</w:t>
      </w:r>
      <w:r>
        <w:rPr>
          <w:b w:val="false"/>
          <w:bCs w:val="false"/>
          <w:sz w:val="22"/>
          <w:szCs w:val="22"/>
        </w:rPr>
        <w:t xml:space="preserve">This Legal &amp; Compliance Summary demonstrates AlltagsEngel's commitment to regulatory excellence and investor confidence. Regular updates to this document will reflect evolving regulatory requirements and operational experience.</w:t>
      </w:r>
    </w:p>
    <w:p>
      <w:pPr>
        <w:spacing w:after="400"/>
      </w:pPr>
    </w:p>
    <w:p>
      <w:pPr>
        <w:spacing w:after="100"/>
      </w:pPr>
      <w:r>
        <w:t xml:space="preserve">---</w:t>
      </w:r>
      <w:r>
        <w:rPr>
          <w:b/>
          <w:bCs/>
          <w:sz w:val="22"/>
          <w:szCs w:val="22"/>
        </w:rPr>
        <w:t xml:space="preserve">---</w:t>
      </w:r>
    </w:p>
    <w:p>
      <w:pPr>
        <w:spacing w:after="100"/>
      </w:pPr>
    </w:p>
    <w:p>
      <w:pPr>
        <w:spacing w:after="100"/>
      </w:pPr>
      <w:r>
        <w:t xml:space="preserve">Document Version: 1.0</w:t>
      </w:r>
      <w:r>
        <w:rPr>
          <w:b w:val="false"/>
          <w:bCs w:val="false"/>
          <w:sz w:val="22"/>
          <w:szCs w:val="22"/>
        </w:rPr>
        <w:t xml:space="preserve">Document Version: 1.0</w:t>
      </w:r>
    </w:p>
    <w:p>
      <w:pPr>
        <w:spacing w:after="100"/>
      </w:pPr>
      <w:r>
        <w:t xml:space="preserve">Date: March 2, 2025</w:t>
      </w:r>
      <w:r>
        <w:rPr>
          <w:b w:val="false"/>
          <w:bCs w:val="false"/>
          <w:sz w:val="22"/>
          <w:szCs w:val="22"/>
        </w:rPr>
        <w:t xml:space="preserve">Date: March 2, 2025</w:t>
      </w:r>
    </w:p>
    <w:p>
      <w:pPr>
        <w:spacing w:after="100"/>
      </w:pPr>
      <w:r>
        <w:t xml:space="preserve">Classification: Confidential - Investor Use Only</w:t>
      </w:r>
      <w:r>
        <w:rPr>
          <w:b w:val="false"/>
          <w:bCs w:val="false"/>
          <w:sz w:val="22"/>
          <w:szCs w:val="22"/>
        </w:rPr>
        <w:t xml:space="preserve">Classification: Confidential - Investor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2026-03-02T00:30:06.359Z</dcterms:created>
  <dcterms:modified xsi:type="dcterms:W3CDTF">2026-03-02T00:30:06.361Z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