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240"/>
        <w:jc w:val="center"/>
      </w:pPr>
      <w:r>
        <w:t xml:space="preserve">Geschäftsmodell &amp; Marktanalyse</w:t>
      </w:r>
    </w:p>
    <w:p>
      <w:pPr>
        <w:spacing w:after="480"/>
        <w:jc w:val="center"/>
      </w:pPr>
      <w:r>
        <w:t xml:space="preserve">AlltagsEngel UG</w:t>
      </w:r>
    </w:p>
    <w:p>
      <w:pPr>
        <w:spacing w:after="240"/>
        <w:jc w:val="center"/>
      </w:pPr>
      <w:r>
        <w:t xml:space="preserve">VERTRAULICH</w:t>
      </w:r>
    </w:p>
    <w:p>
      <w:pPr>
        <w:spacing w:after="600"/>
        <w:jc w:val="center"/>
      </w:pPr>
      <w:r>
        <w:t xml:space="preserve">März 2025</w:t>
      </w:r>
    </w:p>
    <w:p>
      <w:pPr>
        <w:spacing w:after="800"/>
      </w:pPr>
    </w:p>
    <w:p>
      <w:pPr>
        <w:spacing w:after="0"/>
      </w:pPr>
      <w:r>
        <w:t xml:space="preserve">Schiller Str. 31</w:t>
      </w:r>
    </w:p>
    <w:p>
      <w:pPr>
        <w:spacing w:after="120"/>
      </w:pPr>
      <w:r>
        <w:t xml:space="preserve">60313 Frankfurt am Main</w:t>
      </w:r>
    </w:p>
    <w:p>
      <w:pPr>
        <w:spacing w:after="400"/>
      </w:pPr>
      <w:r>
        <w:t xml:space="preserve">Geschäftsführer: Yusuf Ferhat Demir</w:t>
      </w:r>
    </w:p>
    <w:p>
      <w:pPr>
        <w:spacing w:after="120" w:before="240" w:line="360"/>
      </w:pPr>
      <w:r>
        <w:t xml:space="preserve">MARKTÜBERSICHT</w:t>
      </w:r>
    </w:p>
    <w:p>
      <w:pPr>
        <w:spacing w:after="80"/>
      </w:pPr>
      <w:r>
        <w:t xml:space="preserve">Pflegebedarf in Deutschland</w:t>
      </w:r>
    </w:p>
    <w:p>
      <w:pPr>
        <w:spacing w:after="80"/>
      </w:pPr>
      <w:r>
        <w:t xml:space="preserve">• 4,96 Mio. Pflegebedürftige in Deutschland (Destatis 2023)</w:t>
      </w:r>
    </w:p>
    <w:p>
      <w:pPr>
        <w:spacing w:after="80"/>
      </w:pPr>
      <w:r>
        <w:t xml:space="preserve">• Jährliches Wachstum: ~3-5% durch demografischen Wandel</w:t>
      </w:r>
    </w:p>
    <w:p>
      <w:pPr>
        <w:spacing w:after="80"/>
      </w:pPr>
      <w:r>
        <w:t xml:space="preserve">• Bis 2030: Geschätzt 6+ Mio. Pflegebedürftige</w:t>
      </w:r>
    </w:p>
    <w:p>
      <w:pPr>
        <w:spacing w:after="240"/>
      </w:pPr>
      <w:r>
        <w:t xml:space="preserve">• Pflegemarkt Deutschland: &gt;€50 Mrd. jährlich</w:t>
      </w:r>
    </w:p>
    <w:p>
      <w:pPr>
        <w:spacing w:after="120" w:before="240" w:line="360"/>
      </w:pPr>
      <w:r>
        <w:t xml:space="preserve">§45b ENTLASTUNGSBETRAG — DAS HERZ DES GESCHÄFTSMODELLS</w:t>
      </w:r>
    </w:p>
    <w:p>
      <w:pPr>
        <w:spacing w:after="80"/>
      </w:pPr>
      <w:r>
        <w:t xml:space="preserve">§45b SGB XI: €125/Monat pro Pflegebedürftigem ab Pflegegrad 1</w:t>
      </w:r>
    </w:p>
    <w:p>
      <w:pPr>
        <w:spacing w:after="80"/>
      </w:pPr>
      <w:r>
        <w:t xml:space="preserve">Gesamtvolumen: 4,96 Mio. × €125 × 12 = €7,44 Mrd./Jahr</w:t>
      </w:r>
    </w:p>
    <w:p>
      <w:pPr>
        <w:spacing w:after="80"/>
      </w:pPr>
      <w:r>
        <w:t xml:space="preserve">Aktuell nur ~40% ausgeschöpft → €4,46 Mrd. ungenutzt</w:t>
      </w:r>
    </w:p>
    <w:p>
      <w:pPr>
        <w:spacing w:after="80"/>
      </w:pPr>
      <w:r>
        <w:t xml:space="preserve">• Warum? Mangel an bekannten, zugänglichen Anbietern</w:t>
      </w:r>
    </w:p>
    <w:p>
      <w:pPr>
        <w:spacing w:after="240"/>
      </w:pPr>
      <w:r>
        <w:t xml:space="preserve">• AlltagsEngel macht dieses Budget digital zugänglich</w:t>
      </w:r>
    </w:p>
    <w:p>
      <w:pPr>
        <w:spacing w:after="120" w:before="240" w:line="360"/>
      </w:pPr>
      <w:r>
        <w:t xml:space="preserve">TAM / SAM / SOM ANALYSE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20"/>
            <w:shd w:fill="C9963C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Kategorie</w:t>
            </w:r>
          </w:p>
        </w:tc>
        <w:tc>
          <w:tcPr>
            <w:tcW w:type="auto" w:w="40"/>
            <w:shd w:fill="C9963C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Definition</w:t>
            </w:r>
          </w:p>
        </w:tc>
        <w:tc>
          <w:tcPr>
            <w:tcW w:type="auto" w:w="40"/>
            <w:shd w:fill="C9963C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Wert</w:t>
            </w:r>
          </w:p>
        </w:tc>
      </w:tr>
      <w:tr>
        <w:tc>
          <w:tcPr>
            <w:tcW w:type="auto" w:w="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TAM</w:t>
            </w:r>
          </w:p>
        </w:tc>
        <w:tc>
          <w:tcPr>
            <w:tcW w:type="auto" w:w="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Gesamter Pflegemarkt DE</w:t>
            </w:r>
          </w:p>
        </w:tc>
        <w:tc>
          <w:tcPr>
            <w:tcW w:type="auto" w:w="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€50+ Mrd.</w:t>
            </w:r>
          </w:p>
        </w:tc>
      </w:tr>
      <w:tr>
        <w:tc>
          <w:tcPr>
            <w:tcW w:type="auto" w:w="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SAM</w:t>
            </w:r>
          </w:p>
        </w:tc>
        <w:tc>
          <w:tcPr>
            <w:tcW w:type="auto" w:w="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Alltagsbegleitung &amp; Entlastungsleistungen</w:t>
            </w:r>
          </w:p>
        </w:tc>
        <w:tc>
          <w:tcPr>
            <w:tcW w:type="auto" w:w="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€8-12 Mrd.</w:t>
            </w:r>
          </w:p>
        </w:tc>
      </w:tr>
      <w:tr>
        <w:tc>
          <w:tcPr>
            <w:tcW w:type="auto" w:w="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SOM</w:t>
            </w:r>
          </w:p>
        </w:tc>
        <w:tc>
          <w:tcPr>
            <w:tcW w:type="auto" w:w="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Erreichbar in 5 Jahren (digital)</w:t>
            </w:r>
          </w:p>
        </w:tc>
        <w:tc>
          <w:tcPr>
            <w:tcW w:type="auto" w:w="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€200-400 Mio.</w:t>
            </w:r>
          </w:p>
        </w:tc>
      </w:tr>
    </w:tbl>
    <w:p>
      <w:pPr>
        <w:spacing w:after="240"/>
      </w:pPr>
    </w:p>
    <w:p>
      <w:pPr>
        <w:spacing w:after="120" w:before="240" w:line="360"/>
      </w:pPr>
      <w:r>
        <w:t xml:space="preserve">WETTBEWERBSANALYSE</w:t>
      </w:r>
    </w:p>
    <w:p>
      <w:pPr>
        <w:spacing w:after="80"/>
      </w:pPr>
      <w:r>
        <w:t xml:space="preserve">Pflegehelden.de | Online-Vermittlung | Bekanntheit vs. Keine App, kein §45b</w:t>
      </w:r>
    </w:p>
    <w:p>
      <w:pPr>
        <w:spacing w:after="80"/>
      </w:pPr>
      <w:r>
        <w:t xml:space="preserve">Careship | Plattform | VC-finanziert vs. Fokus Pflege, teuer</w:t>
      </w:r>
    </w:p>
    <w:p>
      <w:pPr>
        <w:spacing w:after="80"/>
      </w:pPr>
      <w:r>
        <w:t xml:space="preserve">Lokale Sozialstationen | Traditionell | Vertrauen vs. Kein Digital</w:t>
      </w:r>
    </w:p>
    <w:p>
      <w:pPr>
        <w:spacing w:after="120"/>
      </w:pPr>
      <w:r>
        <w:t xml:space="preserve">Private Vermittler | Agentur | Persönlich vs. Teuer</w:t>
      </w:r>
    </w:p>
    <w:p>
      <w:pPr>
        <w:spacing w:after="240"/>
      </w:pPr>
      <w:r>
        <w:t xml:space="preserve">AlltagsEngel | App-Plattform | §45b, Digital vs. Neuer Anbieter</w:t>
      </w:r>
    </w:p>
    <w:p>
      <w:pPr>
        <w:spacing w:after="120" w:before="240" w:line="360"/>
      </w:pPr>
      <w:r>
        <w:t xml:space="preserve">GESCHÄFTSMODELL</w:t>
      </w:r>
    </w:p>
    <w:p>
      <w:pPr>
        <w:spacing w:after="80"/>
      </w:pPr>
      <w:r>
        <w:t xml:space="preserve">Einnahmequellen:</w:t>
      </w:r>
    </w:p>
    <w:p>
      <w:pPr>
        <w:spacing w:after="80"/>
      </w:pPr>
      <w:r>
        <w:t xml:space="preserve">• Provision: 18% pro Buchung (€40 durchschnittlich = €7,20)</w:t>
      </w:r>
    </w:p>
    <w:p>
      <w:pPr>
        <w:spacing w:after="80"/>
      </w:pPr>
      <w:r>
        <w:t xml:space="preserve">• Premium-Abo: €9,99/Monat (bevorzugte Sichtbarkeit)</w:t>
      </w:r>
    </w:p>
    <w:p>
      <w:pPr>
        <w:spacing w:after="240"/>
      </w:pPr>
      <w:r>
        <w:t xml:space="preserve">• Zukünftig: Direktabrechnung, Partnerschaften</w:t>
      </w:r>
    </w:p>
    <w:p>
      <w:pPr>
        <w:spacing w:after="120" w:before="240" w:line="360"/>
      </w:pPr>
      <w:r>
        <w:t xml:space="preserve">UNIT ECONOMICS</w:t>
      </w:r>
    </w:p>
    <w:p>
      <w:pPr>
        <w:spacing w:after="80"/>
      </w:pPr>
      <w:r>
        <w:t xml:space="preserve">Buchungswert: €40 durchschnittlich</w:t>
      </w:r>
    </w:p>
    <w:p>
      <w:pPr>
        <w:spacing w:after="80"/>
      </w:pPr>
      <w:r>
        <w:t xml:space="preserve">Provision pro Buchung: €7,20 (18%)</w:t>
      </w:r>
    </w:p>
    <w:p>
      <w:pPr>
        <w:spacing w:after="80"/>
      </w:pPr>
      <w:r>
        <w:t xml:space="preserve">Buchungen/Monat: 4-8 pro Nutzer</w:t>
      </w:r>
    </w:p>
    <w:p>
      <w:pPr>
        <w:spacing w:after="80"/>
      </w:pPr>
      <w:r>
        <w:t xml:space="preserve">Umsatz pro Nutzer: €28,80-€57,60 monatlich</w:t>
      </w:r>
    </w:p>
    <w:p>
      <w:pPr>
        <w:spacing w:after="80"/>
      </w:pPr>
      <w:r>
        <w:t xml:space="preserve">Customer Acquisition Cost: €15-25</w:t>
      </w:r>
    </w:p>
    <w:p>
      <w:pPr>
        <w:spacing w:after="80"/>
      </w:pPr>
      <w:r>
        <w:t xml:space="preserve">Lifetime Value: €400-600</w:t>
      </w:r>
    </w:p>
    <w:p>
      <w:pPr>
        <w:spacing w:after="240"/>
      </w:pPr>
      <w:r>
        <w:t xml:space="preserve">LTV/CAC Ratio: 16-40x (exzellent)</w:t>
      </w:r>
    </w:p>
    <w:p>
      <w:pPr>
        <w:spacing w:after="120" w:before="240" w:line="360"/>
      </w:pPr>
      <w:r>
        <w:t xml:space="preserve">SKALIERUNGSSTRATEGIE</w:t>
      </w:r>
    </w:p>
    <w:p>
      <w:pPr>
        <w:spacing w:after="80"/>
      </w:pPr>
      <w:r>
        <w:t xml:space="preserve">Phase 1: Frankfurt &amp; Rhein-Main (Monat 1-6)</w:t>
      </w:r>
    </w:p>
    <w:p>
      <w:pPr>
        <w:spacing w:after="80"/>
      </w:pPr>
      <w:r>
        <w:t xml:space="preserve">Phase 2: Hessen flächendeckend (Monat 7-12)</w:t>
      </w:r>
    </w:p>
    <w:p>
      <w:pPr>
        <w:spacing w:after="80"/>
      </w:pPr>
      <w:r>
        <w:t xml:space="preserve">Phase 3: Bayern, NRW, Baden-Württemberg (Jahr 2)</w:t>
      </w:r>
    </w:p>
    <w:p>
      <w:pPr>
        <w:spacing w:after="80"/>
      </w:pPr>
      <w:r>
        <w:t xml:space="preserve">Phase 4: Bundesweit (Jahr 3)</w:t>
      </w:r>
    </w:p>
    <w:p>
      <w:pPr>
        <w:spacing w:after="240"/>
      </w:pPr>
      <w:r>
        <w:t xml:space="preserve">Phase 5: DACH-Region (Jahr 4-5)</w:t>
      </w:r>
    </w:p>
    <w:p>
      <w:pPr>
        <w:spacing w:after="120" w:before="240" w:line="360"/>
      </w:pPr>
      <w:r>
        <w:t xml:space="preserve">RISIKEN &amp; GEGENMAßNAHMEN</w:t>
      </w:r>
    </w:p>
    <w:p>
      <w:pPr>
        <w:spacing w:after="80"/>
      </w:pPr>
      <w:r>
        <w:t xml:space="preserve">Regulatorische Änderungen (Mittel): Monitoring, flexible Anpassung</w:t>
      </w:r>
    </w:p>
    <w:p>
      <w:pPr>
        <w:spacing w:after="80"/>
      </w:pPr>
      <w:r>
        <w:t xml:space="preserve">Wettbewerber-Eintritt (Hoch): First-Mover, Netzwerkeffekte</w:t>
      </w:r>
    </w:p>
    <w:p>
      <w:pPr>
        <w:spacing w:after="80"/>
      </w:pPr>
      <w:r>
        <w:t xml:space="preserve">Engel-Mangel (Mittel): Attraktive Konditionen, Versicherung</w:t>
      </w:r>
    </w:p>
    <w:p>
      <w:pPr>
        <w:spacing w:after="300"/>
      </w:pPr>
      <w:r>
        <w:t xml:space="preserve">Technische Probleme (Niedrig): Bewährter Tech-Stack,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2026-03-02T01:02:28.085Z</dcterms:created>
  <dcterms:modified xsi:type="dcterms:W3CDTF">2026-03-02T01:02:28.086Z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