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rPr>
        <w:t xml:space="preserve"/>
      </w:r>
    </w:p>
    <w:p>
      <w:r>
        <w:rPr>
          <w:rFonts w:ascii="Calibri" w:cs="Calibri" w:eastAsia="Calibri" w:hAnsi="Calibri"/>
        </w:rPr>
        <w:t xml:space="preserve"/>
      </w:r>
    </w:p>
    <w:p>
      <w:pPr>
        <w:spacing w:after="240"/>
        <w:jc w:val="center"/>
      </w:pPr>
      <w:r>
        <w:rPr>
          <w:rFonts w:ascii="Calibri" w:cs="Calibri" w:eastAsia="Calibri" w:hAnsi="Calibri"/>
          <w:b/>
          <w:bCs/>
          <w:color w:val="C9A24B"/>
          <w:spacing w:val="20"/>
          <w:sz w:val="24"/>
          <w:szCs w:val="24"/>
        </w:rPr>
        <w:t xml:space="preserve">INVESTOR-CALL</w:t>
      </w:r>
    </w:p>
    <w:p>
      <w:pPr>
        <w:spacing w:after="240"/>
        <w:jc w:val="center"/>
      </w:pPr>
      <w:r>
        <w:rPr>
          <w:rFonts w:ascii="Cambria" w:cs="Cambria" w:eastAsia="Cambria" w:hAnsi="Cambria"/>
          <w:b/>
          <w:bCs/>
          <w:color w:val="1A1612"/>
          <w:sz w:val="56"/>
          <w:szCs w:val="56"/>
        </w:rPr>
        <w:t xml:space="preserve">Q&amp;A-Vorbereitung</w:t>
      </w:r>
    </w:p>
    <w:p>
      <w:pPr>
        <w:spacing w:after="480"/>
        <w:jc w:val="center"/>
      </w:pPr>
      <w:r>
        <w:rPr>
          <w:rFonts w:ascii="Calibri" w:cs="Calibri" w:eastAsia="Calibri" w:hAnsi="Calibri"/>
          <w:i/>
          <w:iCs/>
          <w:color w:val="8A7F6E"/>
          <w:sz w:val="24"/>
          <w:szCs w:val="24"/>
        </w:rPr>
        <w:t xml:space="preserve">Timo Scharpenberg (GF ProCare Deutschland) · Stefan Pickl (PROLIFE)</w:t>
      </w:r>
    </w:p>
    <w:p>
      <w:pPr>
        <w:pBdr>
          <w:bottom w:val="single" w:color="C9A24B" w:sz="8"/>
        </w:pBdr>
        <w:spacing w:after="120" w:before="120"/>
      </w:pPr>
    </w:p>
    <w:p>
      <w:pPr>
        <w:spacing w:after="120"/>
        <w:jc w:val="center"/>
      </w:pPr>
      <w:r>
        <w:rPr>
          <w:rFonts w:ascii="Calibri" w:cs="Calibri" w:eastAsia="Calibri" w:hAnsi="Calibri"/>
          <w:color w:val="8A7F6E"/>
          <w:sz w:val="20"/>
          <w:szCs w:val="20"/>
        </w:rPr>
        <w:t xml:space="preserve">Vertraulich — internes Arbeitsdokument</w:t>
      </w:r>
    </w:p>
    <w:p>
      <w:pPr>
        <w:jc w:val="center"/>
      </w:pPr>
      <w:r>
        <w:rPr>
          <w:rFonts w:ascii="Calibri" w:cs="Calibri" w:eastAsia="Calibri" w:hAnsi="Calibri"/>
          <w:color w:val="8A7F6E"/>
          <w:sz w:val="20"/>
          <w:szCs w:val="20"/>
        </w:rPr>
        <w:t xml:space="preserve">April 2026 · Frankfurt am Main</w:t>
      </w:r>
    </w:p>
    <w:p>
      <w:pPr>
        <w:pageBreakBefore/>
        <w:spacing w:after="240" w:before="480"/>
      </w:pPr>
      <w:r>
        <w:rPr>
          <w:rFonts w:ascii="Cambria" w:cs="Cambria" w:eastAsia="Cambria" w:hAnsi="Cambria"/>
          <w:b/>
          <w:bCs/>
          <w:color w:val="1A1612"/>
          <w:sz w:val="32"/>
          <w:szCs w:val="32"/>
        </w:rPr>
        <w:t xml:space="preserve">1. Gesprächsrahmen — so starten wir das Telefonat</w:t>
      </w:r>
    </w:p>
    <w:p>
      <w:pPr>
        <w:spacing w:after="100" w:before="240"/>
      </w:pPr>
      <w:r>
        <w:rPr>
          <w:rFonts w:ascii="Calibri" w:cs="Calibri" w:eastAsia="Calibri" w:hAnsi="Calibri"/>
          <w:b/>
          <w:bCs/>
          <w:color w:val="C9A24B"/>
          <w:sz w:val="22"/>
          <w:szCs w:val="22"/>
        </w:rPr>
        <w:t xml:space="preserve">Ziel des Calls</w:t>
      </w:r>
    </w:p>
    <w:p>
      <w:pPr>
        <w:spacing w:after="120"/>
        <w:jc w:val="both"/>
      </w:pPr>
      <w:r>
        <w:rPr>
          <w:rFonts w:ascii="Calibri" w:cs="Calibri" w:eastAsia="Calibri" w:hAnsi="Calibri"/>
          <w:color w:val="1A1612"/>
          <w:sz w:val="22"/>
          <w:szCs w:val="22"/>
        </w:rPr>
        <w:t xml:space="preserve">Erstes inhaltliches Kennenlernen nach Stefan Pickls Empfehlung. Ziel: (1) Vertrauen aufbauen, (2) die Lösung klar machen, (3) konkrete nächste Schritte vereinbaren — idealerweise ein persönliches Treffen oder ein strukturierter Due-Diligence-Prozess.</w:t>
      </w:r>
    </w:p>
    <w:p>
      <w:pPr>
        <w:spacing w:after="100" w:before="240"/>
      </w:pPr>
      <w:r>
        <w:rPr>
          <w:rFonts w:ascii="Calibri" w:cs="Calibri" w:eastAsia="Calibri" w:hAnsi="Calibri"/>
          <w:b/>
          <w:bCs/>
          <w:color w:val="C9A24B"/>
          <w:sz w:val="22"/>
          <w:szCs w:val="22"/>
        </w:rPr>
        <w:t xml:space="preserve">Eröffnung (30 Sekunden)</w:t>
      </w:r>
    </w:p>
    <w:p>
      <w:pPr>
        <w:pBdr>
          <w:left w:val="single" w:color="C9A24B" w:sz="18" w:space="12"/>
        </w:pBdr>
        <w:spacing w:after="120" w:before="100"/>
        <w:ind w:left="360"/>
      </w:pPr>
      <w:r>
        <w:rPr>
          <w:rFonts w:ascii="Calibri" w:cs="Calibri" w:eastAsia="Calibri" w:hAnsi="Calibri"/>
          <w:i/>
          <w:iCs/>
          <w:color w:val="1A1612"/>
          <w:sz w:val="22"/>
          <w:szCs w:val="22"/>
        </w:rPr>
        <w:t xml:space="preserve">"Herr Scharpenberg, schön, dass Sie sich Zeit nehmen. Stefan Pickl hat mir gesagt, dass Sie bei ProCare für die strategische Ausrichtung verantwortlich sind und den Pflegebox-Bereich von innen kennen wie kaum jemand sonst. Ich habe Sie aus zwei Gründen gesucht: erstens, weil Pflegeboxen ein natürlicher Baustein unserer Plattform sind — und zweitens, weil ich Ihre Einschätzung zu dem Markt mehr schätze als fast jede andere."</w:t>
      </w:r>
    </w:p>
    <w:p>
      <w:pPr>
        <w:spacing w:after="100" w:before="240"/>
      </w:pPr>
      <w:r>
        <w:rPr>
          <w:rFonts w:ascii="Calibri" w:cs="Calibri" w:eastAsia="Calibri" w:hAnsi="Calibri"/>
          <w:b/>
          <w:bCs/>
          <w:color w:val="C9A24B"/>
          <w:sz w:val="22"/>
          <w:szCs w:val="22"/>
        </w:rPr>
        <w:t xml:space="preserve">Agenda vorschlagen</w:t>
      </w:r>
    </w:p>
    <w:p>
      <w:pPr>
        <w:pStyle w:val="ListParagraph"/>
        <w:numPr>
          <w:ilvl w:val="0"/>
          <w:numId w:val="2"/>
        </w:numPr>
        <w:spacing w:after="40"/>
      </w:pPr>
      <w:r>
        <w:rPr>
          <w:rFonts w:ascii="Calibri" w:cs="Calibri" w:eastAsia="Calibri" w:hAnsi="Calibri"/>
          <w:color w:val="1A1612"/>
          <w:sz w:val="22"/>
          <w:szCs w:val="22"/>
        </w:rPr>
        <w:t xml:space="preserve">Kurz zu mir &amp; AlltagsEngel (2 Min)</w:t>
      </w:r>
    </w:p>
    <w:p>
      <w:pPr>
        <w:pStyle w:val="ListParagraph"/>
        <w:numPr>
          <w:ilvl w:val="0"/>
          <w:numId w:val="2"/>
        </w:numPr>
        <w:spacing w:after="40"/>
      </w:pPr>
      <w:r>
        <w:rPr>
          <w:rFonts w:ascii="Calibri" w:cs="Calibri" w:eastAsia="Calibri" w:hAnsi="Calibri"/>
          <w:color w:val="1A1612"/>
          <w:sz w:val="22"/>
          <w:szCs w:val="22"/>
        </w:rPr>
        <w:t xml:space="preserve">Das Problem, das wir lösen (3 Min)</w:t>
      </w:r>
    </w:p>
    <w:p>
      <w:pPr>
        <w:pStyle w:val="ListParagraph"/>
        <w:numPr>
          <w:ilvl w:val="0"/>
          <w:numId w:val="2"/>
        </w:numPr>
        <w:spacing w:after="40"/>
      </w:pPr>
      <w:r>
        <w:rPr>
          <w:rFonts w:ascii="Calibri" w:cs="Calibri" w:eastAsia="Calibri" w:hAnsi="Calibri"/>
          <w:color w:val="1A1612"/>
          <w:sz w:val="22"/>
          <w:szCs w:val="22"/>
        </w:rPr>
        <w:t xml:space="preserve">Warum die Partnerschaft mit ProCare/PROLIFE sinnvoll ist (5 Min)</w:t>
      </w:r>
    </w:p>
    <w:p>
      <w:pPr>
        <w:pStyle w:val="ListParagraph"/>
        <w:numPr>
          <w:ilvl w:val="0"/>
          <w:numId w:val="2"/>
        </w:numPr>
        <w:spacing w:after="40"/>
      </w:pPr>
      <w:r>
        <w:rPr>
          <w:rFonts w:ascii="Calibri" w:cs="Calibri" w:eastAsia="Calibri" w:hAnsi="Calibri"/>
          <w:color w:val="1A1612"/>
          <w:sz w:val="22"/>
          <w:szCs w:val="22"/>
        </w:rPr>
        <w:t xml:space="preserve">Ihre Fragen &amp; Einschätzungen — hier ist die wichtigste Zeit (Rest)</w:t>
      </w:r>
    </w:p>
    <w:p>
      <w:pPr>
        <w:pStyle w:val="ListParagraph"/>
        <w:numPr>
          <w:ilvl w:val="0"/>
          <w:numId w:val="2"/>
        </w:numPr>
        <w:spacing w:after="40"/>
      </w:pPr>
      <w:r>
        <w:rPr>
          <w:rFonts w:ascii="Calibri" w:cs="Calibri" w:eastAsia="Calibri" w:hAnsi="Calibri"/>
          <w:color w:val="1A1612"/>
          <w:sz w:val="22"/>
          <w:szCs w:val="22"/>
        </w:rPr>
        <w:t xml:space="preserve">Nächste Schritte (am Ende)</w:t>
      </w:r>
    </w:p>
    <w:p>
      <w:pPr>
        <w:spacing w:after="100" w:before="240"/>
      </w:pPr>
      <w:r>
        <w:rPr>
          <w:rFonts w:ascii="Calibri" w:cs="Calibri" w:eastAsia="Calibri" w:hAnsi="Calibri"/>
          <w:b/>
          <w:bCs/>
          <w:color w:val="C9A24B"/>
          <w:sz w:val="22"/>
          <w:szCs w:val="22"/>
        </w:rPr>
        <w:t xml:space="preserve">Tonalität</w:t>
      </w:r>
    </w:p>
    <w:p>
      <w:pPr>
        <w:spacing w:after="120"/>
        <w:jc w:val="both"/>
      </w:pPr>
      <w:r>
        <w:rPr>
          <w:rFonts w:ascii="Calibri" w:cs="Calibri" w:eastAsia="Calibri" w:hAnsi="Calibri"/>
          <w:color w:val="1A1612"/>
          <w:sz w:val="22"/>
          <w:szCs w:val="22"/>
        </w:rPr>
        <w:t xml:space="preserve">Ruhig, unternehmerisch, keine Verkaufs-Sprache. ProCare und PROLIFE sind etablierte Akteure — sie werden schnell merken, wer Ahnung hat und wer nur Hype verkauft. Zahlen statt Buzzwords. Wenn wir etwas nicht wissen: "Das weiß ich nicht, ich finde es heraus und melde mich" — niemals erfinden.</w:t>
      </w:r>
    </w:p>
    <w:p>
      <w:pPr>
        <w:pageBreakBefore/>
        <w:spacing w:after="240" w:before="480"/>
      </w:pPr>
      <w:r>
        <w:rPr>
          <w:rFonts w:ascii="Cambria" w:cs="Cambria" w:eastAsia="Cambria" w:hAnsi="Cambria"/>
          <w:b/>
          <w:bCs/>
          <w:color w:val="1A1612"/>
          <w:sz w:val="32"/>
          <w:szCs w:val="32"/>
        </w:rPr>
        <w:t xml:space="preserve">2. Wer sind die Gesprächspartner?</w:t>
      </w:r>
    </w:p>
    <w:p>
      <w:pPr>
        <w:spacing w:after="100" w:before="240"/>
      </w:pPr>
      <w:r>
        <w:rPr>
          <w:rFonts w:ascii="Calibri" w:cs="Calibri" w:eastAsia="Calibri" w:hAnsi="Calibri"/>
          <w:b/>
          <w:bCs/>
          <w:color w:val="C9A24B"/>
          <w:sz w:val="22"/>
          <w:szCs w:val="22"/>
        </w:rPr>
        <w:t xml:space="preserve">Stefan Pickl — PROLIFE ("oberste Chef")</w:t>
      </w:r>
    </w:p>
    <w:p>
      <w:pPr>
        <w:spacing w:after="120"/>
        <w:jc w:val="both"/>
      </w:pPr>
      <w:r>
        <w:rPr>
          <w:rFonts w:ascii="Calibri" w:cs="Calibri" w:eastAsia="Calibri" w:hAnsi="Calibri"/>
          <w:color w:val="1A1612"/>
          <w:sz w:val="22"/>
          <w:szCs w:val="22"/>
        </w:rPr>
        <w:t xml:space="preserve">Stefan Pickl ist die oberste Entscheidungsebene bei PROLIFE. PROLIFE ist im Pflege-Hilfsmittel-Bereich aktiv und hat eine Verbindung zu ProCare Deutschland. Pickl hat bereits grundsätzliches Interesse an einer Investment-Diskussion signalisiert — er ist der Türöffner, aber die operative Prüfung läuft vermutlich über ProCare/Scharpenberg.</w:t>
      </w:r>
    </w:p>
    <w:p>
      <w:pPr>
        <w:spacing w:after="60"/>
      </w:pPr>
      <w:r>
        <w:rPr>
          <w:rFonts w:ascii="Calibri" w:cs="Calibri" w:eastAsia="Calibri" w:hAnsi="Calibri"/>
          <w:b/>
          <w:bCs/>
          <w:color w:val="1A1612"/>
          <w:sz w:val="22"/>
          <w:szCs w:val="22"/>
        </w:rPr>
        <w:t xml:space="preserve">Was wir über ihn wissen:</w:t>
      </w:r>
    </w:p>
    <w:p>
      <w:pPr>
        <w:pStyle w:val="ListParagraph"/>
        <w:numPr>
          <w:ilvl w:val="0"/>
          <w:numId w:val="2"/>
        </w:numPr>
        <w:spacing w:after="40"/>
      </w:pPr>
      <w:r>
        <w:rPr>
          <w:rFonts w:ascii="Calibri" w:cs="Calibri" w:eastAsia="Calibri" w:hAnsi="Calibri"/>
          <w:color w:val="1A1612"/>
          <w:sz w:val="22"/>
          <w:szCs w:val="22"/>
        </w:rPr>
        <w:t xml:space="preserve">Entscheider-Persönlichkeit, keine Buzzwords, sucht Substanz</w:t>
      </w:r>
    </w:p>
    <w:p>
      <w:pPr>
        <w:pStyle w:val="ListParagraph"/>
        <w:numPr>
          <w:ilvl w:val="0"/>
          <w:numId w:val="2"/>
        </w:numPr>
        <w:spacing w:after="40"/>
      </w:pPr>
      <w:r>
        <w:rPr>
          <w:rFonts w:ascii="Calibri" w:cs="Calibri" w:eastAsia="Calibri" w:hAnsi="Calibri"/>
          <w:color w:val="1A1612"/>
          <w:sz w:val="22"/>
          <w:szCs w:val="22"/>
        </w:rPr>
        <w:t xml:space="preserve">Netzwerk in der deutschen Pflege-Industrie (Kassen, Apotheken, Sanitätshäuser)</w:t>
      </w:r>
    </w:p>
    <w:p>
      <w:pPr>
        <w:pStyle w:val="ListParagraph"/>
        <w:numPr>
          <w:ilvl w:val="0"/>
          <w:numId w:val="2"/>
        </w:numPr>
        <w:spacing w:after="40"/>
      </w:pPr>
      <w:r>
        <w:rPr>
          <w:rFonts w:ascii="Calibri" w:cs="Calibri" w:eastAsia="Calibri" w:hAnsi="Calibri"/>
          <w:color w:val="1A1612"/>
          <w:sz w:val="22"/>
          <w:szCs w:val="22"/>
        </w:rPr>
        <w:t xml:space="preserve">Denkt in Strukturen — nicht in Features</w:t>
      </w:r>
    </w:p>
    <w:p>
      <w:pPr>
        <w:spacing w:after="100" w:before="240"/>
      </w:pPr>
      <w:r>
        <w:rPr>
          <w:rFonts w:ascii="Calibri" w:cs="Calibri" w:eastAsia="Calibri" w:hAnsi="Calibri"/>
          <w:b/>
          <w:bCs/>
          <w:color w:val="C9A24B"/>
          <w:sz w:val="22"/>
          <w:szCs w:val="22"/>
        </w:rPr>
        <w:t xml:space="preserve">Timo Scharpenberg — GF ProCare Deutschland</w:t>
      </w:r>
    </w:p>
    <w:p>
      <w:pPr>
        <w:spacing w:after="120"/>
        <w:jc w:val="both"/>
      </w:pPr>
      <w:r>
        <w:rPr>
          <w:rFonts w:ascii="Calibri" w:cs="Calibri" w:eastAsia="Calibri" w:hAnsi="Calibri"/>
          <w:color w:val="1A1612"/>
          <w:sz w:val="22"/>
          <w:szCs w:val="22"/>
        </w:rPr>
        <w:t xml:space="preserve">Geschäftsführer von ProCare Deutschland — einem der etablierten Pflegebox-Anbieter in Deutschland. ProCare übersetzt die §40-Pauschale (42 €/Monat Pflegehilfsmittel-Geld der Kasse) in monatliche Lieferungen. Scharpenberg kennt die Kassen-Abrechnung, die §40-Logistik und die Margen-Realität. Telefonnummer: 0171 7971491.</w:t>
      </w:r>
    </w:p>
    <w:p>
      <w:pPr>
        <w:spacing w:after="60"/>
      </w:pPr>
      <w:r>
        <w:rPr>
          <w:rFonts w:ascii="Calibri" w:cs="Calibri" w:eastAsia="Calibri" w:hAnsi="Calibri"/>
          <w:b/>
          <w:bCs/>
          <w:color w:val="1A1612"/>
          <w:sz w:val="22"/>
          <w:szCs w:val="22"/>
        </w:rPr>
        <w:t xml:space="preserve">Was wir über ihn annehmen:</w:t>
      </w:r>
    </w:p>
    <w:p>
      <w:pPr>
        <w:pStyle w:val="ListParagraph"/>
        <w:numPr>
          <w:ilvl w:val="0"/>
          <w:numId w:val="2"/>
        </w:numPr>
        <w:spacing w:after="40"/>
      </w:pPr>
      <w:r>
        <w:rPr>
          <w:rFonts w:ascii="Calibri" w:cs="Calibri" w:eastAsia="Calibri" w:hAnsi="Calibri"/>
          <w:color w:val="1A1612"/>
          <w:sz w:val="22"/>
          <w:szCs w:val="22"/>
        </w:rPr>
        <w:t xml:space="preserve">Operativer Entscheider, trifft Go-Nogo-Partnerschaften</w:t>
      </w:r>
    </w:p>
    <w:p>
      <w:pPr>
        <w:pStyle w:val="ListParagraph"/>
        <w:numPr>
          <w:ilvl w:val="0"/>
          <w:numId w:val="2"/>
        </w:numPr>
        <w:spacing w:after="40"/>
      </w:pPr>
      <w:r>
        <w:rPr>
          <w:rFonts w:ascii="Calibri" w:cs="Calibri" w:eastAsia="Calibri" w:hAnsi="Calibri"/>
          <w:color w:val="1A1612"/>
          <w:sz w:val="22"/>
          <w:szCs w:val="22"/>
        </w:rPr>
        <w:t xml:space="preserve">Will wissen: Macht AlltagsEngel ProCare größer oder konkurriert?</w:t>
      </w:r>
    </w:p>
    <w:p>
      <w:pPr>
        <w:pStyle w:val="ListParagraph"/>
        <w:numPr>
          <w:ilvl w:val="0"/>
          <w:numId w:val="2"/>
        </w:numPr>
        <w:spacing w:after="40"/>
      </w:pPr>
      <w:r>
        <w:rPr>
          <w:rFonts w:ascii="Calibri" w:cs="Calibri" w:eastAsia="Calibri" w:hAnsi="Calibri"/>
          <w:color w:val="1A1612"/>
          <w:sz w:val="22"/>
          <w:szCs w:val="22"/>
        </w:rPr>
        <w:t xml:space="preserve">Wird Marge, Volumen, Lieferlogistik und Abrechnungs-Qualität prüfen</w:t>
      </w:r>
    </w:p>
    <w:p>
      <w:pPr>
        <w:spacing w:after="100" w:before="240"/>
      </w:pPr>
      <w:r>
        <w:rPr>
          <w:rFonts w:ascii="Calibri" w:cs="Calibri" w:eastAsia="Calibri" w:hAnsi="Calibri"/>
          <w:b/>
          <w:bCs/>
          <w:color w:val="C9A24B"/>
          <w:sz w:val="22"/>
          <w:szCs w:val="22"/>
        </w:rPr>
        <w:t xml:space="preserve">Stefan Pickls Empfehlung ernst nehmen</w:t>
      </w:r>
    </w:p>
    <w:p>
      <w:pPr>
        <w:spacing w:after="120"/>
        <w:jc w:val="both"/>
      </w:pPr>
      <w:r>
        <w:rPr>
          <w:rFonts w:ascii="Calibri" w:cs="Calibri" w:eastAsia="Calibri" w:hAnsi="Calibri"/>
          <w:color w:val="1A1612"/>
          <w:sz w:val="22"/>
          <w:szCs w:val="22"/>
        </w:rPr>
        <w:t xml:space="preserve">Pickl hat explizit gesagt, er warte auf Yusufs Anruf. Das ist ein starkes Signal. Er hat Scharpenberg vermutlich bereits vorgewarnt — aber wir müssen im Call trotzdem die komplette Story ownen, nicht davon ausgehen, dass er alles weiß.</w:t>
      </w:r>
    </w:p>
    <w:p>
      <w:pPr>
        <w:pageBreakBefore/>
        <w:spacing w:after="240" w:before="480"/>
      </w:pPr>
      <w:r>
        <w:rPr>
          <w:rFonts w:ascii="Cambria" w:cs="Cambria" w:eastAsia="Cambria" w:hAnsi="Cambria"/>
          <w:b/>
          <w:bCs/>
          <w:color w:val="1A1612"/>
          <w:sz w:val="32"/>
          <w:szCs w:val="32"/>
        </w:rPr>
        <w:t xml:space="preserve">3. Der 30-Sekunden-Pitch (auswendig)</w:t>
      </w:r>
    </w:p>
    <w:p>
      <w:pPr>
        <w:pBdr>
          <w:left w:val="single" w:color="C9A24B" w:sz="18" w:space="12"/>
        </w:pBdr>
        <w:spacing w:after="120" w:before="100"/>
        <w:ind w:left="360"/>
      </w:pPr>
      <w:r>
        <w:rPr>
          <w:rFonts w:ascii="Calibri" w:cs="Calibri" w:eastAsia="Calibri" w:hAnsi="Calibri"/>
          <w:i/>
          <w:iCs/>
          <w:color w:val="1A1612"/>
          <w:sz w:val="22"/>
          <w:szCs w:val="22"/>
        </w:rPr>
        <w:t xml:space="preserve">"AlltagsEngel ist die erste App in Deutschland, die alle Lebensbereiche eines Pflegebedürftigen in einer Plattform bündelt: Alltagshilfe nach §45b, Krankentransport und Pflegeboxen nach §40. Kunden buchen, Engel und Fahrer arbeiten, die Kasse zahlt — direkt, ohne Vorkasse, ohne Papierkram. Heute live in Frankfurt, nächstes Jahr in Köln und Düsseldorf. Pre-Seed eine Million Euro für achtzehn Monate Runway."</w:t>
      </w:r>
    </w:p>
    <w:p>
      <w:pPr>
        <w:spacing w:after="120"/>
        <w:jc w:val="both"/>
      </w:pPr>
      <w:r>
        <w:rPr>
          <w:rFonts w:ascii="Calibri" w:cs="Calibri" w:eastAsia="Calibri" w:hAnsi="Calibri"/>
          <w:color w:val="1A1612"/>
          <w:sz w:val="22"/>
          <w:szCs w:val="22"/>
        </w:rPr>
        <w:t xml:space="preserve">Das ist der Kern. Diese 30 Sekunden müssen fließen wie Wasser. Alles andere ist Kommentar.</w:t>
      </w:r>
    </w:p>
    <w:p>
      <w:pPr>
        <w:pageBreakBefore/>
        <w:spacing w:after="240" w:before="480"/>
      </w:pPr>
      <w:r>
        <w:rPr>
          <w:rFonts w:ascii="Cambria" w:cs="Cambria" w:eastAsia="Cambria" w:hAnsi="Cambria"/>
          <w:b/>
          <w:bCs/>
          <w:color w:val="1A1612"/>
          <w:sz w:val="32"/>
          <w:szCs w:val="32"/>
        </w:rPr>
        <w:t xml:space="preserve">4. Die 20 wichtigsten Fragen &amp; Antworten</w:t>
      </w:r>
    </w:p>
    <w:p>
      <w:pPr>
        <w:spacing w:after="160" w:before="320"/>
      </w:pPr>
      <w:r>
        <w:rPr>
          <w:rFonts w:ascii="Cambria" w:cs="Cambria" w:eastAsia="Cambria" w:hAnsi="Cambria"/>
          <w:b/>
          <w:bCs/>
          <w:color w:val="1A1612"/>
          <w:sz w:val="24"/>
          <w:szCs w:val="24"/>
        </w:rPr>
        <w:t xml:space="preserve">Markt &amp; Problem</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Warum sollte AlltagsEngel funktionieren, wenn es schon Helpling, Home Instead und klassische Pflegedienste gibt?</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Weil keiner von denen alle drei Leistungen in einer App bündelt. Helpling ist reine Haushaltshilfe ohne Kassen-Abrechnung. Home Instead macht Pflege, aber keine Krankenfahrten, keine Pflegeboxen, und der Kunde zahlt selbst. Klassische Pflegedienste haben keine digitalen Tools, sind personell am Limit und rechnen noch per Fax. Wir bauen die erste integrierte Pflege-Plattform — das ist eine neue Kategorie, kein Me-too. Integration ist unser Moat, nicht nur eine Feature-Entscheidung.</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Wer ist Ihr größter Wettbewerber?</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Mittelfristig niemand direkt, weil die Kategorie neu ist. Langfristig: DocMorris oder Check24 könnten in den Raum kommen, aber beide sind reine Tech-Plattformen ohne lokales Engel-Netzwerk und ohne §45a-Zulassung. Die Barriere ist nicht die App — die Barriere ist die Kassen-Direktabrechnung pro Bundesland (§45a) und der Aufbau eines qualifizierten Helfer-Netzwerks. Beides dauert 12 bis 18 Monate pro Stadt.</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Wie groß ist der Markt wirklich?</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5,2 Millionen Pflegebedürftige in Deutschland (Destatis 2025), davon etwa 2,5 Millionen Pflegegrad 1 und 2 mit §45b-Anspruch. Bei 131 € Kassen-Budget pro Monat sind das rund 3,3 Milliarden Euro allein §45b-Volumen pro Jahr. Plus Krankenfahrten: 2–3 Milliarden Euro. Plus §40-Pflegebox-Markt: 1,3 Milliarden Euro. Insgesamt TAM rund 9,8 Milliarden Euro. Unser realistischer SAM in den ersten drei Städten: 450 Millionen. SOM in den nächsten drei Jahren: 25 Millionen.</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Warum verfallen 60 % des §45b-Budgets tatsächlich?</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GKV-Spitzenverband hat das mehrfach bestätigt, zuletzt 2023. Der Grund ist nicht mangelnder Bedarf — der Grund ist Bürokratie. Der Angehörige muss einen Leistungserbringer finden, der anerkannt ist, die Leistung erbringen lassen, die Rechnung einreichen, die Erstattung abwarten. In der Praxis machen das die wenigsten, weil sie damit überfordert sind. AlltagsEngel automatisiert den gesamten Flow: der Kunde bucht, wir rechnen direkt mit der Kasse ab, der Kunde merkt nichts von der Bürokratie.</w:t>
      </w:r>
    </w:p>
    <w:p>
      <w:pPr>
        <w:spacing w:after="160" w:before="320"/>
      </w:pPr>
      <w:r>
        <w:rPr>
          <w:rFonts w:ascii="Cambria" w:cs="Cambria" w:eastAsia="Cambria" w:hAnsi="Cambria"/>
          <w:b/>
          <w:bCs/>
          <w:color w:val="1A1612"/>
          <w:sz w:val="24"/>
          <w:szCs w:val="24"/>
        </w:rPr>
        <w:t xml:space="preserve">Produkt &amp; Technologie</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Ist die App wirklich live oder noch im Prototypen-Status?</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Live im Beta-Status seit April 2026. Produktionsreif ausgerollt: Next.js-basierte PWA plus native iOS- und Android-Apps via Capacitor, Supabase als Backend, Stripe für Zahlungen, Sentry für Monitoring. Drei Rollen sind implementiert: Kunde, Engel (Alltagshelfer), Fahrer. Die Registrierung, Buchung, Chat, Dokumentenupload, Zahlungsabwicklung und das Admin-Tool funktionieren. Wir haben erste reale Kunden und Engel onboarded.</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Wer hat das gebaut und wie lange hat es gedauert?</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Ich (Yusuf) habe das Produkt in vier Monaten als Gründer-CEO/CTO komplett alleine gebaut. Full-Stack: Architektur, iOS, Android, Web, Backend, Design. Das ist nicht nur Tempo — das ist Product-Led Understanding. Wir werden jetzt skalieren, sobald die Finanzierung steht.</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Was ist Ihr technischer Moat?</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Kein einzelnes Feature, sondern die Integration. Andere bauen eine App für Alltagshilfe, eine für Fahrten, eine für Pflegeboxen. Wir haben ein gemeinsames Datenmodell über alle drei — derselbe Kunde, derselbe Kalender, derselbe Rechnungslauf. Dazu kommt die direkte Kassen-Abrechnungsschnittstelle über das standardisierte EDI-Protokoll. Das ist kein Quick-Hack, das ist eine mittelfristige Investition.</w:t>
      </w:r>
    </w:p>
    <w:p>
      <w:pPr>
        <w:spacing w:after="160" w:before="320"/>
      </w:pPr>
      <w:r>
        <w:rPr>
          <w:rFonts w:ascii="Cambria" w:cs="Cambria" w:eastAsia="Cambria" w:hAnsi="Cambria"/>
          <w:b/>
          <w:bCs/>
          <w:color w:val="1A1612"/>
          <w:sz w:val="24"/>
          <w:szCs w:val="24"/>
        </w:rPr>
        <w:t xml:space="preserve">Geschäftsmodell &amp; Zahlen</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Wie verdienen Sie Geld?</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Vier wiederkehrende Ströme. Erstens Alltagshilfe nach §45b: Kasse zahlt 32,50 € pro Stunde, wir zahlen dem Engel 25 €, die Differenz ist unsere Marge. Zweitens Krankenfahrten: wir rechnen direkt mit der Kasse ab, halten etwa 8 € Marge pro Fahrt. Drittens Pflegeboxen nach §40 — hier kommt die ProCare-Partnerschaft ins Spiel. Viertens Premium-Abo 29–49 €/Monat für Familien mit persönlichem Care-Manager. ARPU etwa 340 € pro Monat pro Kunde.</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Wie ist Ihre Unit Economics?</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Bei einer durchschnittlichen Kunden-Lebensdauer von 28 Monaten und einem Bruttomargen-Beitrag von 80 bis 100 € pro Kunde pro Monat liegt der LTV zwischen 2.300 € (konservativ) und 9.500 € (wenn man Umsatz-LTV rechnet). Der CAC in Frankfurt liegt bei etwa 180–250 € pro Kunde — das macht ein LTV:CAC-Verhältnis von 9 bis 52. Payback unter drei Monaten.</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Wann sind Sie profitabel?</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Im Base Case EBITDA-positiv ab Q2/Q3 2028. Bei optimistischer Skalierung (höhere Conversion, mehr Stunden pro Kunde) bereits Q4 2027. Bei pessimistischem Szenario (langsamere Kundenakquise) verschiebt sich auf Q4 2028 — dann bräuchten wir eine kleinere Seed-Extension, kein Kurssturz.</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Was passiert, wenn der Gesetzgeber §45b ändert?</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Das ist unser größtes regulatorisches Risiko und wir nehmen es ernst. Gegenmaßnahme: Das Geschäftsmodell steht nicht exklusiv auf §45b. Krankenfahrten sind ein eigener Regulierungsrahmen, Pflegeboxen stützen sich auf §40, das Premium-Abo ist Selbstzahler. Fällt §45b komplett weg, tragen die anderen drei Ströme immer noch etwa 50 % des Umsatzes. Zudem hätte eine §45b-Änderung politisch mindestens 12 Monate Vorlaufzeit — genug, um unseren Mix anzupassen.</w:t>
      </w:r>
    </w:p>
    <w:p>
      <w:pPr>
        <w:spacing w:after="160" w:before="320"/>
      </w:pPr>
      <w:r>
        <w:rPr>
          <w:rFonts w:ascii="Cambria" w:cs="Cambria" w:eastAsia="Cambria" w:hAnsi="Cambria"/>
          <w:b/>
          <w:bCs/>
          <w:color w:val="1A1612"/>
          <w:sz w:val="24"/>
          <w:szCs w:val="24"/>
        </w:rPr>
        <w:t xml:space="preserve">ProCare/PROLIFE-Partnerschaft</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Warum sollten wir als ProCare/PROLIFE mit AlltagsEngel zusammenarbeiten?</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Weil wir Ihnen einen neuen Vertriebskanal für Pflegeboxen öffnen, ohne dass Sie in eine eigene Pflege-Plattform investieren müssen. Wir integrieren Ihre Box direkt in die AlltagsEngel-App — wenn ein Kunde bei uns bucht, ist Ihre Pflegebox standardmäßig aktiviert. Sie liefern und rechnen ab wie heute, wir bringen den Kunden und übernehmen die digitale Schnittstelle. Das ist eine Win-Win-Struktur: Sie bekommen Volumen ohne Akquise-Kosten, wir bekommen einen starken Hilfsmittel-Partner ohne eigenen COGS-Aufbau.</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Was erwarten Sie konkret von uns?</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Drei Optionen, nicht exklusiv: (1) Ein strategisches Investment — Ticket 250.000 bis 750.000 €, idealerweise Lead- oder Co-Lead in der Pre-Seed-Runde. Das signalisiert dem Markt eine echte Partnerschaft. (2) Eine Vertriebs-Kooperation mit Revenue-Share für jede Box, die über AlltagsEngel ausgelöst wird. (3) Beides kombiniert — das wäre unsere Präferenz, weil es strategisch am stärksten ist.</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Sind wir Ihr einziger Pflegebox-Partner?</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In der Startphase ja, in Frankfurt und in Köln. Das ist bewusst: eine Exklusiv-Partnerschaft pro Region gibt beiden Seiten Planungssicherheit und echte Tiefe. Langfristig denken wir vielleicht an regionale Rotationen, aber wir sind keine Preisvergleichs-Plattform mit 15 Anbietern auf einer Seite. Wir wollen einen Partner, der es richtig macht — und ProCare ist bei Ihnen genau der Qualitäts-Level, den wir brauchen.</w:t>
      </w:r>
    </w:p>
    <w:p>
      <w:pPr>
        <w:spacing w:after="160" w:before="320"/>
      </w:pPr>
      <w:r>
        <w:rPr>
          <w:rFonts w:ascii="Cambria" w:cs="Cambria" w:eastAsia="Cambria" w:hAnsi="Cambria"/>
          <w:b/>
          <w:bCs/>
          <w:color w:val="1A1612"/>
          <w:sz w:val="24"/>
          <w:szCs w:val="24"/>
        </w:rPr>
        <w:t xml:space="preserve">Go-to-Market &amp; Team</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Wie akquirieren Sie Kunden in Frankfurt?</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Vier Kanäle. Erstens Ärzte- und Pflegebüros als Empfehlungspartner — wir zahlen nichts, aber wir entlasten sie von Beratungsarbeit. Zweitens Apotheken, wo wir Flyer-Material auslegen. Drittens Pflegekassen-Informationsveranstaltungen. Viertens klassisches Performance-Marketing auf Google und Meta mit Fokus auf Pflegebedürftigen-Angehörige. Die ersten 100 Kunden kommen über Kanal 1–3 fast ohne CAC, Kanal 4 skaliert dann.</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Wer ist Ihr Team?</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Aktuell bin ich Solo-Founder. Nach der Pre-Seed bauen wir innerhalb von drei Monaten auf fünf Kern-Leute aus: eine Head of Operations (Kassen-Integration, Engel-Rekrutierung), eine Head of Sales (B2B-Partnerschaften, Ärzte-Netzwerk), zwei Senior-Engineers (Features, Skalierung) und eine Community-Managerin (Engel-Betreuung). Konkrete Kandidaten sind identifiziert, aber Zusagen erst nach Funding.</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Warum Frankfurt als Start, und warum als nächstes Köln?</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Frankfurt: Ich bin hier geboren, kenne die Stadt, habe das Netzwerk. Hessen hat AlltagsEngel bereits nach §45a als Leistungserbringer anerkannt. Köln: größter Pflegemarkt in NRW, strukturell ähnlich zu Frankfurt, aber viermal so groß. Der §45a-Antrag in NRW läuft parallel. Düsseldorf dann als Expansion aus der NRW-Basis heraus. Die drei Städte zusammen decken etwa 450 Millionen Euro TAM ab.</w:t>
      </w:r>
    </w:p>
    <w:p>
      <w:pPr>
        <w:spacing w:after="160" w:before="320"/>
      </w:pPr>
      <w:r>
        <w:rPr>
          <w:rFonts w:ascii="Cambria" w:cs="Cambria" w:eastAsia="Cambria" w:hAnsi="Cambria"/>
          <w:b/>
          <w:bCs/>
          <w:color w:val="1A1612"/>
          <w:sz w:val="24"/>
          <w:szCs w:val="24"/>
        </w:rPr>
        <w:t xml:space="preserve">Finanzierung &amp; Exit</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Warum 1,0 Millionen Euro und nicht mehr?</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Weil weniger Kapital uns diszipliniert hält und wir mit dieser Summe 18 Monate Runway haben, um die Pilot-Stadt Frankfurt auf 500 aktive Kunden zu bringen, den Köln-Launch vorzubereiten und die ProCare-Integration live zu haben. Nach diesen 18 Monaten werden wir Traktion haben, die eine Seed-Runde von 2,5 bis 4 Millionen Euro zu deutlich besserer Bewertung rechtfertigt.</w:t>
      </w:r>
    </w:p>
    <w:p>
      <w:pPr>
        <w:spacing w:after="60" w:before="200"/>
      </w:pPr>
      <w:r>
        <w:rPr>
          <w:rFonts w:ascii="Calibri" w:cs="Calibri" w:eastAsia="Calibri" w:hAnsi="Calibri"/>
          <w:b/>
          <w:bCs/>
          <w:color w:val="C9A24B"/>
          <w:sz w:val="22"/>
          <w:szCs w:val="22"/>
        </w:rPr>
        <w:t xml:space="preserve">F: </w:t>
      </w:r>
      <w:r>
        <w:rPr>
          <w:rFonts w:ascii="Calibri" w:cs="Calibri" w:eastAsia="Calibri" w:hAnsi="Calibri"/>
          <w:b/>
          <w:bCs/>
          <w:color w:val="1A1612"/>
          <w:sz w:val="22"/>
          <w:szCs w:val="22"/>
        </w:rPr>
        <w:t xml:space="preserve">Was ist der Exit-Plan?</w:t>
      </w:r>
    </w:p>
    <w:p>
      <w:pPr>
        <w:spacing w:after="120"/>
        <w:jc w:val="both"/>
      </w:pPr>
      <w:r>
        <w:rPr>
          <w:rFonts w:ascii="Calibri" w:cs="Calibri" w:eastAsia="Calibri" w:hAnsi="Calibri"/>
          <w:b/>
          <w:bCs/>
          <w:color w:val="1A1612"/>
          <w:sz w:val="22"/>
          <w:szCs w:val="22"/>
        </w:rPr>
        <w:t xml:space="preserve">A: </w:t>
      </w:r>
      <w:r>
        <w:rPr>
          <w:rFonts w:ascii="Calibri" w:cs="Calibri" w:eastAsia="Calibri" w:hAnsi="Calibri"/>
          <w:color w:val="1A1612"/>
          <w:sz w:val="22"/>
          <w:szCs w:val="22"/>
        </w:rPr>
        <w:t xml:space="preserve">Realistisch sind drei Szenarien. Erstens strategischer Exit an eine große Krankenkasse oder einen Kassen-Konzern wie DAK oder Barmer, die digitale Pflege-Ökosysteme strategisch aufbauen — Zeitrahmen 6–8 Jahre, Volumen 80–150 Mio €. Zweitens PE-Exit an einen Healthcare-Investor, der das Modell auf andere europäische Länder rollt — Zeitrahmen 5–7 Jahre, Volumen 100–200 Mio €. Drittens IPO im deutschen Mittelstands-Segment, wenn wir Marktführer in Top-10-Städten sind — Zeitrahmen 8–10 Jahre. Für Ihre Pre-Seed-Beteiligung ergibt das bei realistischer Bewertung der Runde einen 20–50x Return im Base Case.</w:t>
      </w:r>
    </w:p>
    <w:p>
      <w:pPr>
        <w:pageBreakBefore/>
        <w:spacing w:after="240" w:before="480"/>
      </w:pPr>
      <w:r>
        <w:rPr>
          <w:rFonts w:ascii="Cambria" w:cs="Cambria" w:eastAsia="Cambria" w:hAnsi="Cambria"/>
          <w:b/>
          <w:bCs/>
          <w:color w:val="1A1612"/>
          <w:sz w:val="32"/>
          <w:szCs w:val="32"/>
        </w:rPr>
        <w:t xml:space="preserve">5. Kritische Einwände — was sie denken, aber nicht fragen</w:t>
      </w:r>
    </w:p>
    <w:p>
      <w:pPr>
        <w:spacing w:after="100" w:before="240"/>
      </w:pPr>
      <w:r>
        <w:rPr>
          <w:rFonts w:ascii="Calibri" w:cs="Calibri" w:eastAsia="Calibri" w:hAnsi="Calibri"/>
          <w:b/>
          <w:bCs/>
          <w:color w:val="C9A24B"/>
          <w:sz w:val="22"/>
          <w:szCs w:val="22"/>
        </w:rPr>
        <w:t xml:space="preserve">"Ein Solo-Founder ist zu riskant"</w:t>
      </w:r>
    </w:p>
    <w:p>
      <w:pPr>
        <w:spacing w:after="120"/>
        <w:jc w:val="both"/>
      </w:pPr>
      <w:r>
        <w:rPr>
          <w:rFonts w:ascii="Calibri" w:cs="Calibri" w:eastAsia="Calibri" w:hAnsi="Calibri"/>
          <w:color w:val="1A1612"/>
          <w:sz w:val="22"/>
          <w:szCs w:val="22"/>
        </w:rPr>
        <w:t xml:space="preserve">Gegenzeichen vorwegnehmen: Ich bin Solo-Founder, ja — aber ich habe das Produkt in vier Monaten komplett selbst gebaut. Das ist ein Zeichen von Execution, nicht von fehlender Team-Fähigkeit. Mit der Pre-Seed bauen wir in drei Monaten ein Fünf-Kopf-Kern-Team auf. Die Einstellungen sind vorbereitet, nicht erst bei Funding beginnend.</w:t>
      </w:r>
    </w:p>
    <w:p>
      <w:pPr>
        <w:spacing w:after="100" w:before="240"/>
      </w:pPr>
      <w:r>
        <w:rPr>
          <w:rFonts w:ascii="Calibri" w:cs="Calibri" w:eastAsia="Calibri" w:hAnsi="Calibri"/>
          <w:b/>
          <w:bCs/>
          <w:color w:val="C9A24B"/>
          <w:sz w:val="22"/>
          <w:szCs w:val="22"/>
        </w:rPr>
        <w:t xml:space="preserve">"Die Kategorie existiert doch noch gar nicht — ist das Markt oder Wunsch?"</w:t>
      </w:r>
    </w:p>
    <w:p>
      <w:pPr>
        <w:spacing w:after="120"/>
        <w:jc w:val="both"/>
      </w:pPr>
      <w:r>
        <w:rPr>
          <w:rFonts w:ascii="Calibri" w:cs="Calibri" w:eastAsia="Calibri" w:hAnsi="Calibri"/>
          <w:color w:val="1A1612"/>
          <w:sz w:val="22"/>
          <w:szCs w:val="22"/>
        </w:rPr>
        <w:t xml:space="preserve">Die Kategorie "integrierte Pflege-Plattform" existiert in Deutschland noch nicht. Das ist bewusst unser First-Mover-Advantage. In Schweden macht TioHundra etwas Ähnliches, in UK MyCarespace. Die Marktreife ist da — mehr als 70 % der pflegenden Angehörigen sagen in GKV-Studien, sie wünschen sich eine digitale Lösung. Wir bauen keine Nachfrage, wir antworten auf eine vorhandene.</w:t>
      </w:r>
    </w:p>
    <w:p>
      <w:pPr>
        <w:spacing w:after="100" w:before="240"/>
      </w:pPr>
      <w:r>
        <w:rPr>
          <w:rFonts w:ascii="Calibri" w:cs="Calibri" w:eastAsia="Calibri" w:hAnsi="Calibri"/>
          <w:b/>
          <w:bCs/>
          <w:color w:val="C9A24B"/>
          <w:sz w:val="22"/>
          <w:szCs w:val="22"/>
        </w:rPr>
        <w:t xml:space="preserve">"Kassen-Abrechnung ist kompliziert — wird AlltagsEngel das wirklich operativ hinkriegen?"</w:t>
      </w:r>
    </w:p>
    <w:p>
      <w:pPr>
        <w:spacing w:after="120"/>
        <w:jc w:val="both"/>
      </w:pPr>
      <w:r>
        <w:rPr>
          <w:rFonts w:ascii="Calibri" w:cs="Calibri" w:eastAsia="Calibri" w:hAnsi="Calibri"/>
          <w:color w:val="1A1612"/>
          <w:sz w:val="22"/>
          <w:szCs w:val="22"/>
        </w:rPr>
        <w:t xml:space="preserve">Wir haben die §45a-Anerkennung in Hessen bereits. Der NRW-Antrag läuft. Die EDI-Schnittstelle zu den Kassen ist standardisiert (§302 SGB V) — es gibt Dienstleister wie DATA-PSG, mit denen wir die Integration aufsetzen. Das ist Arbeit, aber kein Forschungsthema.</w:t>
      </w:r>
    </w:p>
    <w:p>
      <w:pPr>
        <w:spacing w:after="100" w:before="240"/>
      </w:pPr>
      <w:r>
        <w:rPr>
          <w:rFonts w:ascii="Calibri" w:cs="Calibri" w:eastAsia="Calibri" w:hAnsi="Calibri"/>
          <w:b/>
          <w:bCs/>
          <w:color w:val="C9A24B"/>
          <w:sz w:val="22"/>
          <w:szCs w:val="22"/>
        </w:rPr>
        <w:t xml:space="preserve">"Sie sind noch sehr früh — warum heute und nicht erst nach mehr Traktion?"</w:t>
      </w:r>
    </w:p>
    <w:p>
      <w:pPr>
        <w:spacing w:after="120"/>
        <w:jc w:val="both"/>
      </w:pPr>
      <w:r>
        <w:rPr>
          <w:rFonts w:ascii="Calibri" w:cs="Calibri" w:eastAsia="Calibri" w:hAnsi="Calibri"/>
          <w:color w:val="1A1612"/>
          <w:sz w:val="22"/>
          <w:szCs w:val="22"/>
        </w:rPr>
        <w:t xml:space="preserve">Weil der Markt sich entwickelt und wir jetzt die §45a-Zulassungen, die Engel-Netzwerke und die Partnerschaften aufbauen müssen. Jeder Monat Verzögerung bedeutet, dass ein anderer den Markt einlesen könnte. Jetzt einzusteigen heißt: echtes Pre-Seed-Pricing, First-Mover-Vorteil, Mitgestalten der Partnerschafts-Struktur — nicht nur Beteiligen, sondern Formen.</w:t>
      </w:r>
    </w:p>
    <w:p>
      <w:pPr>
        <w:pageBreakBefore/>
        <w:spacing w:after="240" w:before="480"/>
      </w:pPr>
      <w:r>
        <w:rPr>
          <w:rFonts w:ascii="Cambria" w:cs="Cambria" w:eastAsia="Cambria" w:hAnsi="Cambria"/>
          <w:b/>
          <w:bCs/>
          <w:color w:val="1A1612"/>
          <w:sz w:val="32"/>
          <w:szCs w:val="32"/>
        </w:rPr>
        <w:t xml:space="preserve">6. Konkrete nächste Schritte — so endet der Call</w:t>
      </w:r>
    </w:p>
    <w:p>
      <w:pPr>
        <w:spacing w:after="120"/>
        <w:jc w:val="both"/>
      </w:pPr>
      <w:r>
        <w:rPr>
          <w:rFonts w:ascii="Calibri" w:cs="Calibri" w:eastAsia="Calibri" w:hAnsi="Calibri"/>
          <w:color w:val="1A1612"/>
          <w:sz w:val="22"/>
          <w:szCs w:val="22"/>
        </w:rPr>
        <w:t xml:space="preserve">Ziel: mit einem klaren nächsten Schritt auflegen, niemals mit einem "wir melden uns irgendwann".</w:t>
      </w:r>
    </w:p>
    <w:p>
      <w:pPr>
        <w:spacing w:after="100" w:before="240"/>
      </w:pPr>
      <w:r>
        <w:rPr>
          <w:rFonts w:ascii="Calibri" w:cs="Calibri" w:eastAsia="Calibri" w:hAnsi="Calibri"/>
          <w:b/>
          <w:bCs/>
          <w:color w:val="C9A24B"/>
          <w:sz w:val="22"/>
          <w:szCs w:val="22"/>
        </w:rPr>
        <w:t xml:space="preserve">Was ich ihnen am Ende vorschlage</w:t>
      </w:r>
    </w:p>
    <w:p>
      <w:pPr>
        <w:pStyle w:val="ListParagraph"/>
        <w:numPr>
          <w:ilvl w:val="0"/>
          <w:numId w:val="2"/>
        </w:numPr>
        <w:spacing w:after="40"/>
      </w:pPr>
      <w:r>
        <w:rPr>
          <w:rFonts w:ascii="Calibri" w:cs="Calibri" w:eastAsia="Calibri" w:hAnsi="Calibri"/>
          <w:color w:val="1A1612"/>
          <w:sz w:val="22"/>
          <w:szCs w:val="22"/>
        </w:rPr>
        <w:t xml:space="preserve">Senden des Pitch Decks, Business Plans, Finanzmodells und One-Pagers per E-Mail direkt nach dem Call</w:t>
      </w:r>
    </w:p>
    <w:p>
      <w:pPr>
        <w:pStyle w:val="ListParagraph"/>
        <w:numPr>
          <w:ilvl w:val="0"/>
          <w:numId w:val="2"/>
        </w:numPr>
        <w:spacing w:after="40"/>
      </w:pPr>
      <w:r>
        <w:rPr>
          <w:rFonts w:ascii="Calibri" w:cs="Calibri" w:eastAsia="Calibri" w:hAnsi="Calibri"/>
          <w:color w:val="1A1612"/>
          <w:sz w:val="22"/>
          <w:szCs w:val="22"/>
        </w:rPr>
        <w:t xml:space="preserve">Ein persönliches Treffen in den nächsten 2 Wochen — entweder bei ProCare oder in Frankfurt</w:t>
      </w:r>
    </w:p>
    <w:p>
      <w:pPr>
        <w:pStyle w:val="ListParagraph"/>
        <w:numPr>
          <w:ilvl w:val="0"/>
          <w:numId w:val="2"/>
        </w:numPr>
        <w:spacing w:after="40"/>
      </w:pPr>
      <w:r>
        <w:rPr>
          <w:rFonts w:ascii="Calibri" w:cs="Calibri" w:eastAsia="Calibri" w:hAnsi="Calibri"/>
          <w:color w:val="1A1612"/>
          <w:sz w:val="22"/>
          <w:szCs w:val="22"/>
        </w:rPr>
        <w:t xml:space="preserve">Bis zum Treffen: eine konkrete Rückmeldung von ihrer Seite, ob Investment, Kooperation oder beides im Raum steht</w:t>
      </w:r>
    </w:p>
    <w:p>
      <w:pPr>
        <w:pStyle w:val="ListParagraph"/>
        <w:numPr>
          <w:ilvl w:val="0"/>
          <w:numId w:val="2"/>
        </w:numPr>
        <w:spacing w:after="40"/>
      </w:pPr>
      <w:r>
        <w:rPr>
          <w:rFonts w:ascii="Calibri" w:cs="Calibri" w:eastAsia="Calibri" w:hAnsi="Calibri"/>
          <w:color w:val="1A1612"/>
          <w:sz w:val="22"/>
          <w:szCs w:val="22"/>
        </w:rPr>
        <w:t xml:space="preserve">Optional: ein gemeinsames Gespräch mit Stefan Pickl dazu</w:t>
      </w:r>
    </w:p>
    <w:p>
      <w:pPr>
        <w:spacing w:after="100" w:before="240"/>
      </w:pPr>
      <w:r>
        <w:rPr>
          <w:rFonts w:ascii="Calibri" w:cs="Calibri" w:eastAsia="Calibri" w:hAnsi="Calibri"/>
          <w:b/>
          <w:bCs/>
          <w:color w:val="C9A24B"/>
          <w:sz w:val="22"/>
          <w:szCs w:val="22"/>
        </w:rPr>
        <w:t xml:space="preserve">Was ich NICHT sage</w:t>
      </w:r>
    </w:p>
    <w:p>
      <w:pPr>
        <w:pStyle w:val="ListParagraph"/>
        <w:numPr>
          <w:ilvl w:val="0"/>
          <w:numId w:val="2"/>
        </w:numPr>
        <w:spacing w:after="40"/>
      </w:pPr>
      <w:r>
        <w:rPr>
          <w:rFonts w:ascii="Calibri" w:cs="Calibri" w:eastAsia="Calibri" w:hAnsi="Calibri"/>
          <w:color w:val="1A1612"/>
          <w:sz w:val="22"/>
          <w:szCs w:val="22"/>
        </w:rPr>
        <w:t xml:space="preserve">Keine Bewertungs-Zahl nennen, bevor sie nicht nachfragen</w:t>
      </w:r>
    </w:p>
    <w:p>
      <w:pPr>
        <w:pStyle w:val="ListParagraph"/>
        <w:numPr>
          <w:ilvl w:val="0"/>
          <w:numId w:val="2"/>
        </w:numPr>
        <w:spacing w:after="40"/>
      </w:pPr>
      <w:r>
        <w:rPr>
          <w:rFonts w:ascii="Calibri" w:cs="Calibri" w:eastAsia="Calibri" w:hAnsi="Calibri"/>
          <w:color w:val="1A1612"/>
          <w:sz w:val="22"/>
          <w:szCs w:val="22"/>
        </w:rPr>
        <w:t xml:space="preserve">Keine Exklusivitäts-Zusage an sie geben, die wir nicht halten können</w:t>
      </w:r>
    </w:p>
    <w:p>
      <w:pPr>
        <w:pStyle w:val="ListParagraph"/>
        <w:numPr>
          <w:ilvl w:val="0"/>
          <w:numId w:val="2"/>
        </w:numPr>
        <w:spacing w:after="40"/>
      </w:pPr>
      <w:r>
        <w:rPr>
          <w:rFonts w:ascii="Calibri" w:cs="Calibri" w:eastAsia="Calibri" w:hAnsi="Calibri"/>
          <w:color w:val="1A1612"/>
          <w:sz w:val="22"/>
          <w:szCs w:val="22"/>
        </w:rPr>
        <w:t xml:space="preserve">Kein "wir haben schon andere Investoren", wenn das noch nicht konkret ist</w:t>
      </w:r>
    </w:p>
    <w:p>
      <w:pPr>
        <w:spacing w:after="100" w:before="240"/>
      </w:pPr>
      <w:r>
        <w:rPr>
          <w:rFonts w:ascii="Calibri" w:cs="Calibri" w:eastAsia="Calibri" w:hAnsi="Calibri"/>
          <w:b/>
          <w:bCs/>
          <w:color w:val="C9A24B"/>
          <w:sz w:val="22"/>
          <w:szCs w:val="22"/>
        </w:rPr>
        <w:t xml:space="preserve">Wenn sie zögern</w:t>
      </w:r>
    </w:p>
    <w:p>
      <w:pPr>
        <w:spacing w:after="120"/>
        <w:jc w:val="both"/>
      </w:pPr>
      <w:r>
        <w:rPr>
          <w:rFonts w:ascii="Calibri" w:cs="Calibri" w:eastAsia="Calibri" w:hAnsi="Calibri"/>
          <w:color w:val="1A1612"/>
          <w:sz w:val="22"/>
          <w:szCs w:val="22"/>
        </w:rPr>
        <w:t xml:space="preserve">"Ich verstehe, dass Sie Zeit brauchen. Darf ich vorschlagen, dass ich Ihnen die Unterlagen sende und wir uns in zwei Wochen wieder kurz sprechen? Wenn Sie sich bis dahin gegen ein Investment entscheiden, wäre das genauso wertvoll — dann wissen wir es und können gezielt mit anderen Investoren weiterarbeiten. Aber Ihre Einschätzung ist so wertvoll, dass wir sie auf jeden Fall hören wollen."</w:t>
      </w:r>
    </w:p>
    <w:p>
      <w:pPr>
        <w:pageBreakBefore/>
        <w:spacing w:after="240" w:before="480"/>
      </w:pPr>
      <w:r>
        <w:rPr>
          <w:rFonts w:ascii="Cambria" w:cs="Cambria" w:eastAsia="Cambria" w:hAnsi="Cambria"/>
          <w:b/>
          <w:bCs/>
          <w:color w:val="1A1612"/>
          <w:sz w:val="32"/>
          <w:szCs w:val="32"/>
        </w:rPr>
        <w:t xml:space="preserve">7. Zahlen-Spickzettel — auswendig lernen</w:t>
      </w:r>
    </w:p>
    <w:p>
      <w:pPr>
        <w:spacing w:after="120"/>
        <w:jc w:val="both"/>
      </w:pPr>
      <w:r>
        <w:rPr>
          <w:rFonts w:ascii="Calibri" w:cs="Calibri" w:eastAsia="Calibri" w:hAnsi="Calibri"/>
          <w:color w:val="1A1612"/>
          <w:sz w:val="22"/>
          <w:szCs w:val="22"/>
        </w:rPr>
        <w:t xml:space="preserve">Diese Zahlen müssen flüssig kommen. Nichts ist peinlicher als bei "ARPU?" im Finanzmodell zu suchen.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c>
          <w:tcPr>
            <w:tcW w:type="dxa" w:w="3800"/>
            <w:shd w:fill="1A1612" w:color="auto" w:val="clear"/>
            <w:tcMar>
              <w:top w:type="dxa" w:w="120"/>
              <w:left w:type="dxa" w:w="140"/>
              <w:bottom w:type="dxa" w:w="120"/>
              <w:right w:type="dxa" w:w="140"/>
            </w:tcMar>
            <w:vAlign w:val="center"/>
          </w:tcPr>
          <w:p>
            <w:pPr>
              <w:jc w:val="left"/>
            </w:pPr>
            <w:r>
              <w:rPr>
                <w:rFonts w:ascii="Calibri" w:cs="Calibri" w:eastAsia="Calibri" w:hAnsi="Calibri"/>
                <w:b/>
                <w:bCs/>
                <w:color w:val="FFFFFF"/>
                <w:sz w:val="20"/>
                <w:szCs w:val="20"/>
              </w:rPr>
              <w:t xml:space="preserve">Metrik</w:t>
            </w:r>
          </w:p>
        </w:tc>
        <w:tc>
          <w:tcPr>
            <w:tcW w:type="dxa" w:w="5200"/>
            <w:shd w:fill="1A1612" w:color="auto" w:val="clear"/>
            <w:tcMar>
              <w:top w:type="dxa" w:w="120"/>
              <w:left w:type="dxa" w:w="140"/>
              <w:bottom w:type="dxa" w:w="120"/>
              <w:right w:type="dxa" w:w="140"/>
            </w:tcMar>
            <w:vAlign w:val="center"/>
          </w:tcPr>
          <w:p>
            <w:pPr>
              <w:jc w:val="left"/>
            </w:pPr>
            <w:r>
              <w:rPr>
                <w:rFonts w:ascii="Calibri" w:cs="Calibri" w:eastAsia="Calibri" w:hAnsi="Calibri"/>
                <w:b/>
                <w:bCs/>
                <w:color w:val="FFFFFF"/>
                <w:sz w:val="20"/>
                <w:szCs w:val="20"/>
              </w:rPr>
              <w:t xml:space="preserve">Wert</w:t>
            </w:r>
          </w:p>
        </w:tc>
      </w:tr>
      <w:tr>
        <w:tc>
          <w:tcPr>
            <w:tcW w:type="dxa" w:w="38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Pre-Seed Kapitalbedarf</w:t>
            </w:r>
          </w:p>
        </w:tc>
        <w:tc>
          <w:tcPr>
            <w:tcW w:type="dxa" w:w="52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1,0 Mio €</w:t>
            </w:r>
          </w:p>
        </w:tc>
      </w:tr>
      <w:tr>
        <w:tc>
          <w:tcPr>
            <w:tcW w:type="dxa" w:w="38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Runway</w:t>
            </w:r>
          </w:p>
        </w:tc>
        <w:tc>
          <w:tcPr>
            <w:tcW w:type="dxa" w:w="52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18 Monate</w:t>
            </w:r>
          </w:p>
        </w:tc>
      </w:tr>
      <w:tr>
        <w:tc>
          <w:tcPr>
            <w:tcW w:type="dxa" w:w="38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ARPU (Ø Kunde/Monat)</w:t>
            </w:r>
          </w:p>
        </w:tc>
        <w:tc>
          <w:tcPr>
            <w:tcW w:type="dxa" w:w="52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340 €</w:t>
            </w:r>
          </w:p>
        </w:tc>
      </w:tr>
      <w:tr>
        <w:tc>
          <w:tcPr>
            <w:tcW w:type="dxa" w:w="38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LTV (Brutto-Deckungsbeitrag)</w:t>
            </w:r>
          </w:p>
        </w:tc>
        <w:tc>
          <w:tcPr>
            <w:tcW w:type="dxa" w:w="52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2.300 € (konservativ)</w:t>
            </w:r>
          </w:p>
        </w:tc>
      </w:tr>
      <w:tr>
        <w:tc>
          <w:tcPr>
            <w:tcW w:type="dxa" w:w="38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LTV (Umsatz)</w:t>
            </w:r>
          </w:p>
        </w:tc>
        <w:tc>
          <w:tcPr>
            <w:tcW w:type="dxa" w:w="52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9.500 € (Brutto-Lebensdauer-Umsatz)</w:t>
            </w:r>
          </w:p>
        </w:tc>
      </w:tr>
      <w:tr>
        <w:tc>
          <w:tcPr>
            <w:tcW w:type="dxa" w:w="38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CAC 2026</w:t>
            </w:r>
          </w:p>
        </w:tc>
        <w:tc>
          <w:tcPr>
            <w:tcW w:type="dxa" w:w="52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360 € (Frankfurt)</w:t>
            </w:r>
          </w:p>
        </w:tc>
      </w:tr>
      <w:tr>
        <w:tc>
          <w:tcPr>
            <w:tcW w:type="dxa" w:w="38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CAC 2028 (skaliert)</w:t>
            </w:r>
          </w:p>
        </w:tc>
        <w:tc>
          <w:tcPr>
            <w:tcW w:type="dxa" w:w="52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250 €</w:t>
            </w:r>
          </w:p>
        </w:tc>
      </w:tr>
      <w:tr>
        <w:tc>
          <w:tcPr>
            <w:tcW w:type="dxa" w:w="38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LTV:CAC</w:t>
            </w:r>
          </w:p>
        </w:tc>
        <w:tc>
          <w:tcPr>
            <w:tcW w:type="dxa" w:w="52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9–52x je nach Definition</w:t>
            </w:r>
          </w:p>
        </w:tc>
      </w:tr>
      <w:tr>
        <w:tc>
          <w:tcPr>
            <w:tcW w:type="dxa" w:w="38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Break-Even (EBITDA)</w:t>
            </w:r>
          </w:p>
        </w:tc>
        <w:tc>
          <w:tcPr>
            <w:tcW w:type="dxa" w:w="52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Q2–Q3 2028</w:t>
            </w:r>
          </w:p>
        </w:tc>
      </w:tr>
      <w:tr>
        <w:tc>
          <w:tcPr>
            <w:tcW w:type="dxa" w:w="38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Umsatz 2026 / 2027 / 2028</w:t>
            </w:r>
          </w:p>
        </w:tc>
        <w:tc>
          <w:tcPr>
            <w:tcW w:type="dxa" w:w="52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0,8 Mio € / 4,1 Mio € / 11,2 Mio €</w:t>
            </w:r>
          </w:p>
        </w:tc>
      </w:tr>
      <w:tr>
        <w:tc>
          <w:tcPr>
            <w:tcW w:type="dxa" w:w="38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Kunden Ende 2028</w:t>
            </w:r>
          </w:p>
        </w:tc>
        <w:tc>
          <w:tcPr>
            <w:tcW w:type="dxa" w:w="52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3.740</w:t>
            </w:r>
          </w:p>
        </w:tc>
      </w:tr>
      <w:tr>
        <w:tc>
          <w:tcPr>
            <w:tcW w:type="dxa" w:w="38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Engel Ende 2028</w:t>
            </w:r>
          </w:p>
        </w:tc>
        <w:tc>
          <w:tcPr>
            <w:tcW w:type="dxa" w:w="52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468</w:t>
            </w:r>
          </w:p>
        </w:tc>
      </w:tr>
      <w:tr>
        <w:tc>
          <w:tcPr>
            <w:tcW w:type="dxa" w:w="38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TAM (D, 3-Städte-SAM)</w:t>
            </w:r>
          </w:p>
        </w:tc>
        <w:tc>
          <w:tcPr>
            <w:tcW w:type="dxa" w:w="52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9,8 Mrd € TAM / 450 Mio SAM</w:t>
            </w:r>
          </w:p>
        </w:tc>
      </w:tr>
      <w:tr>
        <w:tc>
          <w:tcPr>
            <w:tcW w:type="dxa" w:w="38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§45b Stundensatz / Marge</w:t>
            </w:r>
          </w:p>
        </w:tc>
        <w:tc>
          <w:tcPr>
            <w:tcW w:type="dxa" w:w="52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32,50 €/h / 7,50 € Marge</w:t>
            </w:r>
          </w:p>
        </w:tc>
      </w:tr>
      <w:tr>
        <w:tc>
          <w:tcPr>
            <w:tcW w:type="dxa" w:w="38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§40 Pflegebox-Pauschale</w:t>
            </w:r>
          </w:p>
        </w:tc>
        <w:tc>
          <w:tcPr>
            <w:tcW w:type="dxa" w:w="52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42 €/Monat</w:t>
            </w:r>
          </w:p>
        </w:tc>
      </w:tr>
      <w:tr>
        <w:tc>
          <w:tcPr>
            <w:tcW w:type="dxa" w:w="38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Bruttomarge 2028</w:t>
            </w:r>
          </w:p>
        </w:tc>
        <w:tc>
          <w:tcPr>
            <w:tcW w:type="dxa" w:w="52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42 %</w:t>
            </w:r>
          </w:p>
        </w:tc>
      </w:tr>
      <w:tr>
        <w:tc>
          <w:tcPr>
            <w:tcW w:type="dxa" w:w="38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Team nach Pre-Seed</w:t>
            </w:r>
          </w:p>
        </w:tc>
        <w:tc>
          <w:tcPr>
            <w:tcW w:type="dxa" w:w="52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5 Personen (3 Mon. Aufbau)</w:t>
            </w:r>
          </w:p>
        </w:tc>
      </w:tr>
      <w:tr>
        <w:tc>
          <w:tcPr>
            <w:tcW w:type="dxa" w:w="38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Gründungsjahr</w:t>
            </w:r>
          </w:p>
        </w:tc>
        <w:tc>
          <w:tcPr>
            <w:tcW w:type="dxa" w:w="52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2025</w:t>
            </w:r>
          </w:p>
        </w:tc>
      </w:tr>
      <w:tr>
        <w:tc>
          <w:tcPr>
            <w:tcW w:type="dxa" w:w="38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App-Start (Beta-Live)</w:t>
            </w:r>
          </w:p>
        </w:tc>
        <w:tc>
          <w:tcPr>
            <w:tcW w:type="dxa" w:w="52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April 2026</w:t>
            </w:r>
          </w:p>
        </w:tc>
      </w:tr>
      <w:tr>
        <w:tc>
          <w:tcPr>
            <w:tcW w:type="dxa" w:w="38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Erste Stadt</w:t>
            </w:r>
          </w:p>
        </w:tc>
        <w:tc>
          <w:tcPr>
            <w:tcW w:type="dxa" w:w="5200"/>
            <w:shd w:fill="EAE3D4" w:color="auto" w:val="clear"/>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Frankfurt</w:t>
            </w:r>
          </w:p>
        </w:tc>
      </w:tr>
      <w:tr>
        <w:tc>
          <w:tcPr>
            <w:tcW w:type="dxa" w:w="38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Nächste Städte</w:t>
            </w:r>
          </w:p>
        </w:tc>
        <w:tc>
          <w:tcPr>
            <w:tcW w:type="dxa" w:w="5200"/>
            <w:tcMar>
              <w:top w:type="dxa" w:w="120"/>
              <w:left w:type="dxa" w:w="140"/>
              <w:bottom w:type="dxa" w:w="120"/>
              <w:right w:type="dxa" w:w="140"/>
            </w:tcMar>
            <w:vAlign w:val="center"/>
          </w:tcPr>
          <w:p>
            <w:pPr>
              <w:jc w:val="left"/>
            </w:pPr>
            <w:r>
              <w:rPr>
                <w:rFonts w:ascii="Calibri" w:cs="Calibri" w:eastAsia="Calibri" w:hAnsi="Calibri"/>
                <w:b w:val="false"/>
                <w:bCs w:val="false"/>
                <w:color w:val="1A1612"/>
                <w:sz w:val="20"/>
                <w:szCs w:val="20"/>
              </w:rPr>
              <w:t xml:space="preserve">Köln Q2/27, Düsseldorf Q4/27</w:t>
            </w:r>
          </w:p>
        </w:tc>
      </w:tr>
    </w:tbl>
    <w:p>
      <w:pPr>
        <w:pageBreakBefore/>
        <w:spacing w:after="240" w:before="480"/>
      </w:pPr>
      <w:r>
        <w:rPr>
          <w:rFonts w:ascii="Cambria" w:cs="Cambria" w:eastAsia="Cambria" w:hAnsi="Cambria"/>
          <w:b/>
          <w:bCs/>
          <w:color w:val="1A1612"/>
          <w:sz w:val="32"/>
          <w:szCs w:val="32"/>
        </w:rPr>
        <w:t xml:space="preserve">8. Persönliche Elemente — die den Call menschlich machen</w:t>
      </w:r>
    </w:p>
    <w:p>
      <w:pPr>
        <w:spacing w:after="120"/>
        <w:jc w:val="both"/>
      </w:pPr>
      <w:r>
        <w:rPr>
          <w:rFonts w:ascii="Calibri" w:cs="Calibri" w:eastAsia="Calibri" w:hAnsi="Calibri"/>
          <w:color w:val="1A1612"/>
          <w:sz w:val="22"/>
          <w:szCs w:val="22"/>
        </w:rPr>
        <w:t xml:space="preserve">Investoren entscheiden nicht nur nach Zahlen. Sie wollen wissen: Warum macht dieser Mensch das, und traue ich ihm zu, es durchzuziehen?</w:t>
      </w:r>
    </w:p>
    <w:p>
      <w:pPr>
        <w:spacing w:after="100" w:before="240"/>
      </w:pPr>
      <w:r>
        <w:rPr>
          <w:rFonts w:ascii="Calibri" w:cs="Calibri" w:eastAsia="Calibri" w:hAnsi="Calibri"/>
          <w:b/>
          <w:bCs/>
          <w:color w:val="C9A24B"/>
          <w:sz w:val="22"/>
          <w:szCs w:val="22"/>
        </w:rPr>
        <w:t xml:space="preserve">Warum ich AlltagsEngel baue</w:t>
      </w:r>
    </w:p>
    <w:p>
      <w:pPr>
        <w:spacing w:after="120"/>
        <w:jc w:val="both"/>
      </w:pPr>
      <w:r>
        <w:rPr>
          <w:rFonts w:ascii="Calibri" w:cs="Calibri" w:eastAsia="Calibri" w:hAnsi="Calibri"/>
          <w:color w:val="1A1612"/>
          <w:sz w:val="22"/>
          <w:szCs w:val="22"/>
        </w:rPr>
        <w:t xml:space="preserve">Die Pflegesituation in Deutschland kenne ich als türkisch-deutsche Familie aus erster Hand. Unsere Eltern und Großeltern brauchen oft gleichzeitig Alltagshilfe, Krankenfahrten und Pflegehilfsmittel — und wir Kinder rennen drei verschiedenen Stellen hinterher. Mir ist aufgefallen: niemand hat das integriert gelöst. Das ist kein "Idee aus der Luft" — das ist ein Problem, das ich selbst gelebt habe.</w:t>
      </w:r>
    </w:p>
    <w:p>
      <w:pPr>
        <w:spacing w:after="100" w:before="240"/>
      </w:pPr>
      <w:r>
        <w:rPr>
          <w:rFonts w:ascii="Calibri" w:cs="Calibri" w:eastAsia="Calibri" w:hAnsi="Calibri"/>
          <w:b/>
          <w:bCs/>
          <w:color w:val="C9A24B"/>
          <w:sz w:val="22"/>
          <w:szCs w:val="22"/>
        </w:rPr>
        <w:t xml:space="preserve">Warum ich glaube, dass es klappt</w:t>
      </w:r>
    </w:p>
    <w:p>
      <w:pPr>
        <w:spacing w:after="120"/>
        <w:jc w:val="both"/>
      </w:pPr>
      <w:r>
        <w:rPr>
          <w:rFonts w:ascii="Calibri" w:cs="Calibri" w:eastAsia="Calibri" w:hAnsi="Calibri"/>
          <w:color w:val="1A1612"/>
          <w:sz w:val="22"/>
          <w:szCs w:val="22"/>
        </w:rPr>
        <w:t xml:space="preserve">Weil ich das Produkt in vier Monaten gebaut habe, ohne dass jemand gesagt hat "das musst du jetzt machen". Product-Led Execution ist mein Stärke. Dazu: türkisch-deutsche Wurzeln bedeuten ein großes Community-Netzwerk gerade in den Stadtteilen, wo viele pflegebedürftige Menschen mit Migrationshintergrund leben — und wo klassische Anbieter bisher scheitern.</w:t>
      </w:r>
    </w:p>
    <w:p>
      <w:pPr>
        <w:spacing w:after="100" w:before="240"/>
      </w:pPr>
      <w:r>
        <w:rPr>
          <w:rFonts w:ascii="Calibri" w:cs="Calibri" w:eastAsia="Calibri" w:hAnsi="Calibri"/>
          <w:b/>
          <w:bCs/>
          <w:color w:val="C9A24B"/>
          <w:sz w:val="22"/>
          <w:szCs w:val="22"/>
        </w:rPr>
        <w:t xml:space="preserve">Wo ich Hilfe brauche</w:t>
      </w:r>
    </w:p>
    <w:p>
      <w:pPr>
        <w:spacing w:after="120"/>
        <w:jc w:val="both"/>
      </w:pPr>
      <w:r>
        <w:rPr>
          <w:rFonts w:ascii="Calibri" w:cs="Calibri" w:eastAsia="Calibri" w:hAnsi="Calibri"/>
          <w:color w:val="1A1612"/>
          <w:sz w:val="22"/>
          <w:szCs w:val="22"/>
        </w:rPr>
        <w:t xml:space="preserve">Ich bin unternehmerisch, aber noch nicht skalierungs-erfahren. Ein Investor, der uns neben Kapital einen Beirat-Sitz, ein Kassen-Netzwerk und einen Geschäftsmodell-Sparringspartner gibt, ist mehr wert als ein reines Cash-Ticket. Genau dort sehe ich ProCare und PROLIFE — Sie kennen die Branche, Sie kennen die Kassen, Sie wissen, wo die Fallstricke liegen.</w:t>
      </w:r>
    </w:p>
    <w:p>
      <w:pPr>
        <w:pageBreakBefore/>
        <w:spacing w:after="240" w:before="480"/>
      </w:pPr>
      <w:r>
        <w:rPr>
          <w:rFonts w:ascii="Cambria" w:cs="Cambria" w:eastAsia="Cambria" w:hAnsi="Cambria"/>
          <w:b/>
          <w:bCs/>
          <w:color w:val="1A1612"/>
          <w:sz w:val="32"/>
          <w:szCs w:val="32"/>
        </w:rPr>
        <w:t xml:space="preserve">9. Nach dem Call — sofortiges Follow-up</w:t>
      </w:r>
    </w:p>
    <w:p>
      <w:pPr>
        <w:spacing w:after="120"/>
        <w:jc w:val="both"/>
      </w:pPr>
      <w:r>
        <w:rPr>
          <w:rFonts w:ascii="Calibri" w:cs="Calibri" w:eastAsia="Calibri" w:hAnsi="Calibri"/>
          <w:color w:val="1A1612"/>
          <w:sz w:val="22"/>
          <w:szCs w:val="22"/>
        </w:rPr>
        <w:t xml:space="preserve">Innerhalb von 2 Stunden nach dem Call sende ich eine strukturierte E-Mail mit:</w:t>
      </w:r>
    </w:p>
    <w:p>
      <w:pPr>
        <w:pStyle w:val="ListParagraph"/>
        <w:numPr>
          <w:ilvl w:val="0"/>
          <w:numId w:val="2"/>
        </w:numPr>
        <w:spacing w:after="40"/>
      </w:pPr>
      <w:r>
        <w:rPr>
          <w:rFonts w:ascii="Calibri" w:cs="Calibri" w:eastAsia="Calibri" w:hAnsi="Calibri"/>
          <w:color w:val="1A1612"/>
          <w:sz w:val="22"/>
          <w:szCs w:val="22"/>
        </w:rPr>
        <w:t xml:space="preserve">Kurzer Dank für die Zeit</w:t>
      </w:r>
    </w:p>
    <w:p>
      <w:pPr>
        <w:pStyle w:val="ListParagraph"/>
        <w:numPr>
          <w:ilvl w:val="0"/>
          <w:numId w:val="2"/>
        </w:numPr>
        <w:spacing w:after="40"/>
      </w:pPr>
      <w:r>
        <w:rPr>
          <w:rFonts w:ascii="Calibri" w:cs="Calibri" w:eastAsia="Calibri" w:hAnsi="Calibri"/>
          <w:color w:val="1A1612"/>
          <w:sz w:val="22"/>
          <w:szCs w:val="22"/>
        </w:rPr>
        <w:t xml:space="preserve">One-Pager im Anhang (PDF)</w:t>
      </w:r>
    </w:p>
    <w:p>
      <w:pPr>
        <w:pStyle w:val="ListParagraph"/>
        <w:numPr>
          <w:ilvl w:val="0"/>
          <w:numId w:val="2"/>
        </w:numPr>
        <w:spacing w:after="40"/>
      </w:pPr>
      <w:r>
        <w:rPr>
          <w:rFonts w:ascii="Calibri" w:cs="Calibri" w:eastAsia="Calibri" w:hAnsi="Calibri"/>
          <w:color w:val="1A1612"/>
          <w:sz w:val="22"/>
          <w:szCs w:val="22"/>
        </w:rPr>
        <w:t xml:space="preserve">Pitch Deck (PDF)</w:t>
      </w:r>
    </w:p>
    <w:p>
      <w:pPr>
        <w:pStyle w:val="ListParagraph"/>
        <w:numPr>
          <w:ilvl w:val="0"/>
          <w:numId w:val="2"/>
        </w:numPr>
        <w:spacing w:after="40"/>
      </w:pPr>
      <w:r>
        <w:rPr>
          <w:rFonts w:ascii="Calibri" w:cs="Calibri" w:eastAsia="Calibri" w:hAnsi="Calibri"/>
          <w:color w:val="1A1612"/>
          <w:sz w:val="22"/>
          <w:szCs w:val="22"/>
        </w:rPr>
        <w:t xml:space="preserve">Business Plan (PDF)</w:t>
      </w:r>
    </w:p>
    <w:p>
      <w:pPr>
        <w:pStyle w:val="ListParagraph"/>
        <w:numPr>
          <w:ilvl w:val="0"/>
          <w:numId w:val="2"/>
        </w:numPr>
        <w:spacing w:after="40"/>
      </w:pPr>
      <w:r>
        <w:rPr>
          <w:rFonts w:ascii="Calibri" w:cs="Calibri" w:eastAsia="Calibri" w:hAnsi="Calibri"/>
          <w:color w:val="1A1612"/>
          <w:sz w:val="22"/>
          <w:szCs w:val="22"/>
        </w:rPr>
        <w:t xml:space="preserve">Finanzmodell (Excel)</w:t>
      </w:r>
    </w:p>
    <w:p>
      <w:pPr>
        <w:pStyle w:val="ListParagraph"/>
        <w:numPr>
          <w:ilvl w:val="0"/>
          <w:numId w:val="2"/>
        </w:numPr>
        <w:spacing w:after="40"/>
      </w:pPr>
      <w:r>
        <w:rPr>
          <w:rFonts w:ascii="Calibri" w:cs="Calibri" w:eastAsia="Calibri" w:hAnsi="Calibri"/>
          <w:color w:val="1A1612"/>
          <w:sz w:val="22"/>
          <w:szCs w:val="22"/>
        </w:rPr>
        <w:t xml:space="preserve">Drei konkrete nächste Schritte als Vorschlag</w:t>
      </w:r>
    </w:p>
    <w:p>
      <w:pPr>
        <w:pStyle w:val="ListParagraph"/>
        <w:numPr>
          <w:ilvl w:val="0"/>
          <w:numId w:val="2"/>
        </w:numPr>
        <w:spacing w:after="40"/>
      </w:pPr>
      <w:r>
        <w:rPr>
          <w:rFonts w:ascii="Calibri" w:cs="Calibri" w:eastAsia="Calibri" w:hAnsi="Calibri"/>
          <w:color w:val="1A1612"/>
          <w:sz w:val="22"/>
          <w:szCs w:val="22"/>
        </w:rPr>
        <w:t xml:space="preserve">Klares Commitment, bis wann ich mich wieder melde</w:t>
      </w:r>
    </w:p>
    <w:p>
      <w:pPr>
        <w:spacing w:after="100" w:before="240"/>
      </w:pPr>
      <w:r>
        <w:rPr>
          <w:rFonts w:ascii="Calibri" w:cs="Calibri" w:eastAsia="Calibri" w:hAnsi="Calibri"/>
          <w:b/>
          <w:bCs/>
          <w:color w:val="C9A24B"/>
          <w:sz w:val="22"/>
          <w:szCs w:val="22"/>
        </w:rPr>
        <w:t xml:space="preserve">E-Mail-Vorlage</w:t>
      </w:r>
    </w:p>
    <w:p>
      <w:pPr>
        <w:pBdr>
          <w:left w:val="single" w:color="C9A24B" w:sz="18" w:space="12"/>
        </w:pBdr>
        <w:spacing w:after="120" w:before="100"/>
        <w:ind w:left="360"/>
      </w:pPr>
      <w:r>
        <w:rPr>
          <w:rFonts w:ascii="Calibri" w:cs="Calibri" w:eastAsia="Calibri" w:hAnsi="Calibri"/>
          <w:i/>
          <w:iCs/>
          <w:color w:val="1A1612"/>
          <w:sz w:val="22"/>
          <w:szCs w:val="22"/>
        </w:rPr>
        <w:t xml:space="preserve">Lieber Herr Scharpenberg,
vielen Dank für das offene Gespräch heute. Ich schätze Ihre direkte Art und die strategischen Fragen — sie helfen uns, schärfer zu denken.
Wie besprochen sende ich Ihnen anbei:
· One-Pager (1 Seite) — zum schnellen Teilen mit Stefan Pickl
· Pitch Deck (14 Slides)
· Business Plan (30 Seiten) — für Ihre Due Diligence
· Finanzmodell (Excel, editierbar) — damit Sie die Annahmen selbst drehen können
Als nächste Schritte schlage ich vor:
1. Sie besprechen das Material intern (und mit Stefan Pickl)
2. Wir treffen uns in den nächsten zwei Wochen persönlich — entweder in Frankfurt oder bei Ihnen
3. Bis dahin: Ich bin jederzeit für Rückfragen erreichbar unter +49 178 338 2825
Melde mich am [KONKRETES DATUM + 10 Tage], falls ich nichts von Ihnen höre — nicht um zu drängen, sondern um sicherzustellen, dass die Unterlagen angekommen sind.
Herzlichen Dank und beste Grüße
Yusuf Ferhat Demir
Gründer &amp; CEO · AlltagsEngel</w:t>
      </w:r>
    </w:p>
    <w:p>
      <w:pPr>
        <w:pBdr>
          <w:bottom w:val="single" w:color="C9A24B" w:sz="8"/>
        </w:pBdr>
        <w:spacing w:after="120" w:before="120"/>
      </w:pPr>
    </w:p>
    <w:p>
      <w:pPr>
        <w:spacing w:before="240"/>
        <w:jc w:val="center"/>
      </w:pPr>
      <w:r>
        <w:rPr>
          <w:rFonts w:ascii="Calibri" w:cs="Calibri" w:eastAsia="Calibri" w:hAnsi="Calibri"/>
          <w:i/>
          <w:iCs/>
          <w:color w:val="8A7F6E"/>
          <w:sz w:val="18"/>
          <w:szCs w:val="18"/>
        </w:rPr>
        <w:t xml:space="preserve">Vertraulich — internes Arbeitsdokument · Nicht an Dritte weiterleiten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4B" w:sz="6"/>
      </w:pBdr>
    </w:pPr>
    <w:r>
      <w:rPr>
        <w:rFonts w:ascii="Calibri" w:cs="Calibri" w:eastAsia="Calibri" w:hAnsi="Calibri"/>
        <w:color w:val="8A7F6E"/>
        <w:sz w:val="18"/>
        <w:szCs w:val="18"/>
      </w:rPr>
      <w:t xml:space="preserve">Nur zum internen Gebrauch</w:t>
    </w:r>
    <w:r>
      <w:rPr>
        <w:rFonts w:ascii="Calibri" w:cs="Calibri" w:eastAsia="Calibri" w:hAnsi="Calibri"/>
        <w:color w:val="8A7F6E"/>
        <w:sz w:val="18"/>
        <w:szCs w:val="18"/>
      </w:rPr>
      <w:ptab w:alignment="right" w:relativeTo="margin" w:leader="none"/>
      <w:t xml:space="preserve">Seite </w:t>
    </w:r>
    <w:r>
      <w:rPr>
        <w:rFonts w:ascii="Calibri" w:cs="Calibri" w:eastAsia="Calibri" w:hAnsi="Calibri"/>
        <w:color w:val="8A7F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4B" w:sz="6"/>
      </w:pBdr>
      <w:jc w:val="right"/>
    </w:pPr>
    <w:r>
      <w:rPr>
        <w:rFonts w:ascii="Calibri" w:cs="Calibri" w:eastAsia="Calibri" w:hAnsi="Calibri"/>
        <w:color w:val="8A7F6E"/>
        <w:sz w:val="18"/>
        <w:szCs w:val="18"/>
      </w:rPr>
      <w:t xml:space="preserve">AlltagsEngel · Q&amp;A-Vorbereitung · 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2026-04-20T22:31:42.980Z</dcterms:created>
  <dcterms:modified xsi:type="dcterms:W3CDTF">2026-04-20T22:31:42.981Z</dcterms:modified>
</cp:coreProperties>
</file>

<file path=docProps/custom.xml><?xml version="1.0" encoding="utf-8"?>
<Properties xmlns="http://schemas.openxmlformats.org/officeDocument/2006/custom-properties" xmlns:vt="http://schemas.openxmlformats.org/officeDocument/2006/docPropsVTypes"/>
</file>