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Billing/Budget-Caps &amp; Tarif-Sicherheit Audit</w:t>
      </w:r>
    </w:p>
    <w:p>
      <w:pPr>
        <w:spacing w:after="120"/>
      </w:pPr>
      <w:r>
        <w:rPr>
          <w:sz w:val="22"/>
          <w:szCs w:val="22"/>
        </w:rPr>
        <w:t xml:space="preserve">Alltagsengel Production — Supabase: nnwyktkqibdjxgimjyuq</w:t>
      </w:r>
    </w:p>
    <w:p>
      <w:pPr>
        <w:spacing w:after="120"/>
      </w:pPr>
      <w:r>
        <w:rPr>
          <w:sz w:val="22"/>
          <w:szCs w:val="22"/>
        </w:rPr>
        <w:t xml:space="preserve">Audit-Datum: 2026-08-20 | Erstellt durch: Automatisiertes Security-Audit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Dieses Audit prüft die Billing-Infrastruktur der Alltagsengel-Produktionsumgebung auf Tarif-Sicherheit, Budget-Korrektheit, Mandantentrennung und regulatorische Compliance (PfluV Hessen). Von 9 Prüfbereichen bestehen 5 ohne Befund. 3 Bereiche weisen HIGH-Risiken auf, 1 Bereich MEDIUM.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Übersicht der Findings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200"/>
        <w:gridCol w:w="1200"/>
      </w:tblGrid>
      <w:tr>
        <w:trPr>
          <w:tblHeader/>
        </w:trPr>
        <w:tc>
          <w:tcPr>
            <w:tcW w:type="dxa" w:w="800"/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Prüfbereich</w:t>
            </w:r>
          </w:p>
        </w:tc>
        <w:tc>
          <w:tcPr>
            <w:tcW w:type="dxa" w:w="2200"/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1200"/>
            <w:shd w:fill="3333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Tarif-Tabelle (35€/h)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Alle 12 blocked — korrekt</w:t>
            </w:r>
          </w:p>
        </w:tc>
        <w:tc>
          <w:tcPr>
            <w:tcW w:type="dxa" w:w="1200"/>
            <w:shd w:fill="2196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Budget-Caps (131€ / 3539€)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Korrekt konfiguriert</w:t>
            </w:r>
          </w:p>
        </w:tc>
        <w:tc>
          <w:tcPr>
            <w:tcW w:type="dxa" w:w="1200"/>
            <w:shd w:fill="2196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Billing Number Sequences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Sequenz-Tabelle LEER + Prefix-Wechsel</w:t>
            </w:r>
          </w:p>
        </w:tc>
        <w:tc>
          <w:tcPr>
            <w:tcW w:type="dxa" w:w="1200"/>
            <w:shd w:fill="FF444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create_invoice_draft_atomic()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Keine Caller-Autorisierung</w:t>
            </w:r>
          </w:p>
        </w:tc>
        <w:tc>
          <w:tcPr>
            <w:tcW w:type="dxa" w:w="1200"/>
            <w:shd w:fill="FF444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Mandantentrennung Billing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RLS + org_fence korrekt</w:t>
            </w:r>
          </w:p>
        </w:tc>
        <w:tc>
          <w:tcPr>
            <w:tcW w:type="dxa" w:w="1200"/>
            <w:shd w:fill="2196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FK-Constraints / Belege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Vollständig und korrekt</w:t>
            </w:r>
          </w:p>
        </w:tc>
        <w:tc>
          <w:tcPr>
            <w:tcW w:type="dxa" w:w="1200"/>
            <w:shd w:fill="2196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Immutable + SHA-256 Checksummen</w:t>
            </w:r>
          </w:p>
        </w:tc>
        <w:tc>
          <w:tcPr>
            <w:tcW w:type="dxa" w:w="1200"/>
            <w:shd w:fill="2196F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PfluV Preisobergrenzen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Trigger aktiv ABER bestaetigt=false</w:t>
            </w:r>
          </w:p>
        </w:tc>
        <w:tc>
          <w:tcPr>
            <w:tcW w:type="dxa" w:w="1200"/>
            <w:shd w:fill="FF444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SEPA Creditor-ID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Placeholder in Production</w:t>
            </w:r>
          </w:p>
        </w:tc>
        <w:tc>
          <w:tcPr>
            <w:tcW w:type="dxa" w:w="1200"/>
            <w:shd w:fill="FFB3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Detaillierte Findings</w:t>
      </w:r>
    </w:p>
    <w:p>
      <w:pPr>
        <w:pStyle w:val="Heading2"/>
      </w:pPr>
      <w:r>
        <w:rPr>
          <w:b/>
          <w:bCs/>
        </w:rPr>
        <w:t xml:space="preserve">1. Tarif-Tabelle (35€/h-Tarife)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12 Tarife mit 35,00 €/Std existieren in billing_tariffs. Alle haben tarif_status = 'blocked'. Kein einziger 35€-Tarif mit Kassenabrechnungs-Rechtsgrundlage (§45b, §39 SGB XI) hat den Status 'verified'.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Wirkung: </w:t>
      </w:r>
      <w:r>
        <w:rPr>
          <w:sz w:val="22"/>
          <w:szCs w:val="22"/>
        </w:rPr>
        <w:t xml:space="preserve">Die Funktion create_invoice_draft_atomic() filtert explizit auf tarif_status = 'verified' für Kassenrechnungen. Blocked-Tarife können NICHT zur Abrechnung verwendet werden.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Privat-Tarife: </w:t>
      </w:r>
      <w:r>
        <w:rPr>
          <w:sz w:val="22"/>
          <w:szCs w:val="22"/>
        </w:rPr>
        <w:t xml:space="preserve">9 Privat-Tarife (38–45 €/Std) sind aktiv und 'verified'. Dies ist korrekt — PfluV-Obergrenzen gelten nicht für Privatleistungen. Die Funktion exkludiert Privattarife korrekt vom Obergrenze-Check (IF rechtsgrundlage = 'privat' THEN RETURN).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 Budget-Caps (Entlastungsbetrag &amp; VP/KZP)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4 aktive Budgets in client_budgets geprüft:</w:t>
      </w:r>
    </w:p>
    <w:p>
      <w:pPr>
        <w:spacing w:after="120"/>
      </w:pPr>
      <w:r>
        <w:rPr>
          <w:sz w:val="22"/>
          <w:szCs w:val="22"/>
        </w:rPr>
        <w:t xml:space="preserve">• monthly_amount = 131,00 € (korrekt, NICHT 125 €)</w:t>
      </w:r>
    </w:p>
    <w:p>
      <w:pPr>
        <w:spacing w:after="120"/>
      </w:pPr>
      <w:r>
        <w:rPr>
          <w:sz w:val="22"/>
          <w:szCs w:val="22"/>
        </w:rPr>
        <w:t xml:space="preserve">• annual_amount = 1.572,00 € (= 12 × 131 €, korrekt)</w:t>
      </w:r>
    </w:p>
    <w:p>
      <w:pPr>
        <w:spacing w:after="120"/>
      </w:pPr>
      <w:r>
        <w:rPr>
          <w:sz w:val="22"/>
          <w:szCs w:val="22"/>
        </w:rPr>
        <w:t xml:space="preserve">• combined_annual_amount = 3.539,00 € (VP/KZP korrekt)</w:t>
      </w:r>
    </w:p>
    <w:p>
      <w:pPr>
        <w:spacing w:after="120"/>
      </w:pPr>
      <w:r>
        <w:rPr>
          <w:sz w:val="22"/>
          <w:szCs w:val="22"/>
        </w:rPr>
        <w:t xml:space="preserve">• budget_type = 'entlastung', combined_type = 'verhinderung'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Bewertung: </w:t>
      </w:r>
      <w:r>
        <w:rPr>
          <w:sz w:val="22"/>
          <w:szCs w:val="22"/>
        </w:rPr>
        <w:t xml:space="preserve">Alle Beträge entsprechen den gesetzlichen Vorgaben ab 01.01.2025 (§45b SGB XI: 131 €/Monat, §39/§42 SGB XI: 1.612 + 1.927 € = 3.539 €).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 Billing Number Sequences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Die Tabelle billing_number_sequences ist LEER. Es existieren jedoch 5 Rechnungen in der invoices-Tabelle:</w:t>
      </w:r>
    </w:p>
    <w:p>
      <w:pPr>
        <w:spacing w:after="120"/>
      </w:pPr>
      <w:r>
        <w:rPr>
          <w:sz w:val="22"/>
          <w:szCs w:val="22"/>
        </w:rPr>
        <w:t xml:space="preserve">RE-2026-0001 (sent), RE-2026-0002 (disputed), RE-2026-0003 (paid), RG-2026-TEST-001 (sent), RG-2026-TEST-002 (sent)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Probleme: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(a) Sequenz-Tabelle leer: next_billing_number() würde bei nächstem Aufruf mit RE-2026-00001 beginnen (5-stellig, LPAD 5), während bestehende Rechnungen 4-stellig sind — kein Duplikat aber Format-Inkonsistenz.</w:t>
      </w:r>
    </w:p>
    <w:p>
      <w:pPr>
        <w:spacing w:after="120"/>
      </w:pPr>
      <w:r>
        <w:rPr>
          <w:sz w:val="22"/>
          <w:szCs w:val="22"/>
        </w:rPr>
        <w:t xml:space="preserve">(b) Prefix-Wechsel RE → RG: Die ersten 3 Rechnungen verwenden 'RE-', die letzten 2 'RG-'. Die Funktion next_billing_number() erzeugt RE- per Default, die RG-TEST-Rechnungen wurden außerhalb der Sequenz erstellt.</w:t>
      </w:r>
    </w:p>
    <w:p>
      <w:pPr>
        <w:spacing w:after="120"/>
      </w:pPr>
      <w:r>
        <w:rPr>
          <w:sz w:val="22"/>
          <w:szCs w:val="22"/>
        </w:rPr>
        <w:t xml:space="preserve">(c) Testdaten in Production: 'RG-2026-TEST-001/002' sind offensichtlich Testdaten mit Status 'sent' in der Production-DB.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Sequenz-Tabelle mit dem aktuellen Stand initialisieren (last_number = 3 für RE, 2026). Testdaten entfernen oder als 'storniert' markieren.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 create_invoice_draft_atomic() — Security Audit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Type: </w:t>
      </w:r>
      <w:r>
        <w:rPr>
          <w:sz w:val="22"/>
          <w:szCs w:val="22"/>
        </w:rPr>
        <w:t xml:space="preserve">SECURITY DEFINER — Funktion läuft mit Owner-Privilegien und umgeht RLS.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Eingabevalidierung: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✓ p_client_id NOT NULL</w:t>
      </w:r>
    </w:p>
    <w:p>
      <w:pPr>
        <w:spacing w:after="120"/>
      </w:pPr>
      <w:r>
        <w:rPr>
          <w:sz w:val="22"/>
          <w:szCs w:val="22"/>
        </w:rPr>
        <w:t xml:space="preserve">✓ p_org_id NOT NULL</w:t>
      </w:r>
    </w:p>
    <w:p>
      <w:pPr>
        <w:spacing w:after="120"/>
      </w:pPr>
      <w:r>
        <w:rPr>
          <w:sz w:val="22"/>
          <w:szCs w:val="22"/>
        </w:rPr>
        <w:t xml:space="preserve">✓ p_period_month Regex-Check (YYYY-MM)</w:t>
      </w:r>
    </w:p>
    <w:p>
      <w:pPr>
        <w:spacing w:after="120"/>
      </w:pPr>
      <w:r>
        <w:rPr>
          <w:sz w:val="22"/>
          <w:szCs w:val="22"/>
        </w:rPr>
        <w:t xml:space="preserve">✓ p_actor_id NOT NULL</w:t>
      </w:r>
    </w:p>
    <w:p>
      <w:pPr>
        <w:spacing w:after="120"/>
      </w:pPr>
      <w:r>
        <w:rPr>
          <w:sz w:val="22"/>
          <w:szCs w:val="22"/>
        </w:rPr>
        <w:t xml:space="preserve">✓ p_budget_type Whitelist-Check</w:t>
      </w:r>
    </w:p>
    <w:p>
      <w:pPr>
        <w:spacing w:after="120"/>
      </w:pPr>
      <w:r>
        <w:rPr>
          <w:sz w:val="22"/>
          <w:szCs w:val="22"/>
        </w:rPr>
        <w:t xml:space="preserve">✓ Client-Org-Zuordnung: WHERE id = p_client_id AND organization_id = p_org_id</w:t>
      </w:r>
    </w:p>
    <w:p>
      <w:pPr>
        <w:spacing w:after="120"/>
      </w:pPr>
      <w:r>
        <w:rPr>
          <w:sz w:val="22"/>
          <w:szCs w:val="22"/>
        </w:rPr>
        <w:t xml:space="preserve">✓ Idempotenz-Key verhindert Doppelrechnungen</w:t>
      </w:r>
    </w:p>
    <w:p>
      <w:pPr>
        <w:spacing w:after="120"/>
      </w:pPr>
      <w:r>
        <w:rPr>
          <w:sz w:val="22"/>
          <w:szCs w:val="22"/>
        </w:rPr>
        <w:t xml:space="preserve">✓ Unterschriftsnachweis-Check (proof_status, signature_hash)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KRITISCHE LÜCKE: </w:t>
      </w:r>
      <w:r>
        <w:rPr>
          <w:sz w:val="22"/>
          <w:szCs w:val="22"/>
        </w:rPr>
        <w:t xml:space="preserve">Die Funktion prüft NICHT, ob der aufrufende User (auth.uid()) zur angegebenen p_org_id gehört. Der Parameter p_actor_id wird blind übernommen ohne Validierung gegen auth.uid(). Ein authentifizierter User von Org A könnte theoretisch mit bekannter org_id und client_id eine Rechnung für Org B erstellen.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Zu Beginn der Funktion prüfen: SELECT 1 FROM organization_members WHERE user_id = auth.uid() AND organization_id = p_org_id. Außerdem: p_actor_id = auth.uid() erzwingen statt als Parameter akzeptieren.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 Mandantentrennung in Billing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RLS ist auf allen 11 Billing-Tabellen aktiviert. Jede Tabelle hat eine RESTRICTIVE org_fence-Policy mit organization_id = current_org_id(). Anonymous-User werden auf invoices und invoice_items explizit mit 'false'-Policy blockiert.</w:t>
      </w:r>
    </w:p>
    <w:p>
      <w:pPr>
        <w:spacing w:after="120"/>
      </w:pPr>
      <w:r>
        <w:rPr>
          <w:sz w:val="22"/>
          <w:szCs w:val="22"/>
        </w:rPr>
        <w:t xml:space="preserve">Geprüfte Tabellen: billing_tariffs, invoices, invoice_items, billing_audit_trail, client_budgets, sepa_mandates, sepa_batches, sepa_batch_items, billing_tarif_belege, invoice_corrections, invoice_disputes.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Einschränkung: </w:t>
      </w:r>
      <w:r>
        <w:rPr>
          <w:sz w:val="22"/>
          <w:szCs w:val="22"/>
        </w:rPr>
        <w:t xml:space="preserve">Die Mandantentrennung wird durch SECURITY DEFINER-Funktionen umgangen (siehe Finding #4). Die RLS-Policies schützen nur bei direktem Tabellenzugriff.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 FK-Constraints und Beleg-Verknüpfungen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Alle kritischen Foreign-Key-Beziehungen sind korrekt definiert:</w:t>
      </w:r>
    </w:p>
    <w:p>
      <w:pPr>
        <w:spacing w:after="120"/>
      </w:pPr>
      <w:r>
        <w:rPr>
          <w:sz w:val="22"/>
          <w:szCs w:val="22"/>
        </w:rPr>
        <w:t xml:space="preserve">✓ billing_tarif_belege.tariff_id → billing_tariffs.id</w:t>
      </w:r>
    </w:p>
    <w:p>
      <w:pPr>
        <w:spacing w:after="120"/>
      </w:pPr>
      <w:r>
        <w:rPr>
          <w:sz w:val="22"/>
          <w:szCs w:val="22"/>
        </w:rPr>
        <w:t xml:space="preserve">✓ invoice_items.invoice_id → invoices.id</w:t>
      </w:r>
    </w:p>
    <w:p>
      <w:pPr>
        <w:spacing w:after="120"/>
      </w:pPr>
      <w:r>
        <w:rPr>
          <w:sz w:val="22"/>
          <w:szCs w:val="22"/>
        </w:rPr>
        <w:t xml:space="preserve">✓ invoice_items.tariff_id → billing_tariffs.id</w:t>
      </w:r>
    </w:p>
    <w:p>
      <w:pPr>
        <w:spacing w:after="120"/>
      </w:pPr>
      <w:r>
        <w:rPr>
          <w:sz w:val="22"/>
          <w:szCs w:val="22"/>
        </w:rPr>
        <w:t xml:space="preserve">✓ invoice_items.service_record_id → service_records.id</w:t>
      </w:r>
    </w:p>
    <w:p>
      <w:pPr>
        <w:spacing w:after="120"/>
      </w:pPr>
      <w:r>
        <w:rPr>
          <w:sz w:val="22"/>
          <w:szCs w:val="22"/>
        </w:rPr>
        <w:t xml:space="preserve">✓ invoices.client_id → clients.id</w:t>
      </w:r>
    </w:p>
    <w:p>
      <w:pPr>
        <w:spacing w:after="120"/>
      </w:pPr>
      <w:r>
        <w:rPr>
          <w:sz w:val="22"/>
          <w:szCs w:val="22"/>
        </w:rPr>
        <w:t xml:space="preserve">✓ invoices.organization_id → organizations.id</w:t>
      </w:r>
    </w:p>
    <w:p>
      <w:pPr>
        <w:spacing w:after="120"/>
      </w:pPr>
      <w:r>
        <w:rPr>
          <w:sz w:val="22"/>
          <w:szCs w:val="22"/>
        </w:rPr>
        <w:t xml:space="preserve">✓ sepa_batch_items.batch_id → sepa_batches.id</w:t>
      </w:r>
    </w:p>
    <w:p>
      <w:pPr>
        <w:spacing w:after="120"/>
      </w:pPr>
      <w:r>
        <w:rPr>
          <w:sz w:val="22"/>
          <w:szCs w:val="22"/>
        </w:rPr>
        <w:t xml:space="preserve">✓ sepa_batch_items.invoice_id → invoices.id</w:t>
      </w:r>
    </w:p>
    <w:p>
      <w:pPr>
        <w:spacing w:after="120"/>
      </w:pPr>
      <w:r>
        <w:rPr>
          <w:sz w:val="22"/>
          <w:szCs w:val="22"/>
        </w:rPr>
        <w:t xml:space="preserve">✓ sepa_batch_items.mandate_id → sepa_mandates.id</w:t>
      </w:r>
    </w:p>
    <w:p>
      <w:pPr>
        <w:spacing w:after="120"/>
      </w:pPr>
      <w:r>
        <w:rPr>
          <w:sz w:val="22"/>
          <w:szCs w:val="22"/>
        </w:rPr>
        <w:t xml:space="preserve">Zusätzlich: invoice_corrections verknüpft original_invoice_id und correction_invoice_id korrekt mit invoices.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 Audit Trail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PASS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✓ billing_audit_trail mit SHA-256 Checksummen (via extensions.digest)</w:t>
      </w:r>
    </w:p>
    <w:p>
      <w:pPr>
        <w:spacing w:after="120"/>
      </w:pPr>
      <w:r>
        <w:rPr>
          <w:sz w:val="22"/>
          <w:szCs w:val="22"/>
        </w:rPr>
        <w:t xml:space="preserve">✓ Immutability: Trigger trg_audit_trail_no_update und trg_audit_trail_no_delete blockieren jede Änderung/Löschung mit prevent_audit_trail_mutation()</w:t>
      </w:r>
    </w:p>
    <w:p>
      <w:pPr>
        <w:spacing w:after="120"/>
      </w:pPr>
      <w:r>
        <w:rPr>
          <w:sz w:val="22"/>
          <w:szCs w:val="22"/>
        </w:rPr>
        <w:t xml:space="preserve">✓ RLS-Policies: Nur INSERT und SELECT (admin/internal_staff), keine UPDATE/DELETE-Policies</w:t>
      </w:r>
    </w:p>
    <w:p>
      <w:pPr>
        <w:spacing w:after="120"/>
      </w:pPr>
      <w:r>
        <w:rPr>
          <w:sz w:val="22"/>
          <w:szCs w:val="22"/>
        </w:rPr>
        <w:t xml:space="preserve">✓ Invoice-Status-Änderungen werden via trg_audit_invoice_status automatisch geloggt</w:t>
      </w:r>
    </w:p>
    <w:p>
      <w:pPr>
        <w:spacing w:after="120"/>
      </w:pPr>
      <w:r>
        <w:rPr>
          <w:sz w:val="22"/>
          <w:szCs w:val="22"/>
        </w:rPr>
        <w:t xml:space="preserve">✓ Finalisierte Rechnungen sind durch prevent_finalized_invoice_mutation() geschützt</w:t>
      </w:r>
    </w:p>
    <w:p>
      <w:pPr>
        <w:spacing w:after="120"/>
      </w:pPr>
      <w:r>
        <w:rPr>
          <w:sz w:val="22"/>
          <w:szCs w:val="22"/>
        </w:rPr>
        <w:t xml:space="preserve">✓ Status-Transitionen werden durch validate_invoice_status_transition() validiert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Hinweis: </w:t>
      </w:r>
      <w:r>
        <w:rPr>
          <w:sz w:val="22"/>
          <w:szCs w:val="22"/>
        </w:rPr>
        <w:t xml:space="preserve">actor_id in billing_audit_trail ist nullable. Einträge ohne Actor sind möglich — empfohlen, NOT NULL zu setzen.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 PfluV Preisobergrenzen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HIGH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Der Trigger trg_tariff_obergrenze (BEFORE INSERT OR UPDATE) ruft enforce_tariff_obergrenze() auf. Diese Funktion prüft gegen billing_gesetzliche_obergrenzen.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Obergrenzen konfiguriert: </w:t>
      </w: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• Betreuungsangebot: 3000 Cent (30,00 €/Std) — §3 PfluV Hessen Nr. 1+2</w:t>
      </w:r>
    </w:p>
    <w:p>
      <w:pPr>
        <w:spacing w:after="120"/>
      </w:pPr>
      <w:r>
        <w:rPr>
          <w:sz w:val="22"/>
          <w:szCs w:val="22"/>
        </w:rPr>
        <w:t xml:space="preserve">• Entlastungsangebot: 2500 Cent (25,00 €/Std) — §3 PfluV Hessen Nr.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KRITISCHE LÜCKE: </w:t>
      </w:r>
      <w:r>
        <w:rPr>
          <w:sz w:val="22"/>
          <w:szCs w:val="22"/>
        </w:rPr>
        <w:t xml:space="preserve">Die Funktion enforce_tariff_obergrenze() filtert mit 'o.bestaetigt = TRUE'. BEIDE Einträge in billing_gesetzliche_obergrenzen haben bestaetigt = FALSE. Das bedeutet: Der Trigger findet KEINE gültige Obergrenze und lässt JEDEN Preis durch. Die PfluV-Preisobergrenzen sind effektiv DEAKTIVIERT.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Beweis: </w:t>
      </w:r>
      <w:r>
        <w:rPr>
          <w:sz w:val="22"/>
          <w:szCs w:val="22"/>
        </w:rPr>
        <w:t xml:space="preserve">Die 12 Tarife mit 35 €/Std (blocked) konnten überhaupt erst angelegt werden, weil der Trigger sie nicht blockiert hat. Sie wurden nur manuell auf 'blocked' gesetzt.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SOFORT bestaetigt = TRUE setzen für beide Obergrenzen-Einträge. Alternativ: bestaetigt-Filter aus der Funktion entfernen, wenn die Daten korrekt sind.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 SEPA Creditor-ID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Risiko: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Befund: </w:t>
      </w:r>
      <w:r>
        <w:rPr>
          <w:sz w:val="22"/>
          <w:szCs w:val="22"/>
        </w:rPr>
        <w:t xml:space="preserve">Die Production-Organisation (00000000-0000-4000-8000-000460629986) hat die SEPA Creditor-ID 'DE98ZZZ09999999999' gespeichert. Diese ID ist ein offensichtlicher Platzhalter (Prüfziffer 98, Geschäftsbereichskennung ZZZ, Mandatsreferenz 09999999999).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Kein Placeholder-Flag: </w:t>
      </w:r>
      <w:r>
        <w:rPr>
          <w:sz w:val="22"/>
          <w:szCs w:val="22"/>
        </w:rPr>
        <w:t xml:space="preserve">In der organizations-Tabelle gibt es KEIN is_placeholder-Feld. Es existiert keine DB-seitige Warnung oder Blockierung, die verhindert, dass SEPA-Batches mit dieser Placeholder-ID generiert werden.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Empfehlung: </w:t>
      </w:r>
      <w:r>
        <w:rPr>
          <w:sz w:val="22"/>
          <w:szCs w:val="22"/>
        </w:rPr>
        <w:t xml:space="preserve">(a) Echte SEPA Creditor-ID bei der Deutschen Bundesbank beantragen und eintragen. (b) Validierungslogik einbauen, die SEPA-Batch-Erstellung blockiert wenn creditor_id das Muster ZZZ09999999999 enthält.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Maßnahmenplan</w:t>
      </w:r>
    </w:p>
    <w:p>
      <w:pPr>
        <w:pStyle w:val="Heading2"/>
      </w:pPr>
      <w:r>
        <w:rPr>
          <w:b/>
          <w:bCs/>
        </w:rPr>
        <w:t xml:space="preserve">Sofort (P0 — vor nächster Rechnungsstellung)</w:t>
      </w:r>
    </w:p>
    <w:p>
      <w:pPr>
        <w:spacing w:after="120"/>
      </w:pPr>
      <w:r>
        <w:rPr>
          <w:sz w:val="22"/>
          <w:szCs w:val="22"/>
        </w:rPr>
        <w:t xml:space="preserve">1. billing_gesetzliche_obergrenzen: bestaetigt = TRUE setzen für beide PfluV-Obergrenzen (30€/25€). Danach Trigger-Test: INSERT eines 35€-Tarifs muss mit OBERGRENZE_UEBERSCHRITTEN fehlschlagen.</w:t>
      </w:r>
    </w:p>
    <w:p>
      <w:pPr>
        <w:spacing w:after="120"/>
      </w:pPr>
      <w:r>
        <w:rPr>
          <w:sz w:val="22"/>
          <w:szCs w:val="22"/>
        </w:rPr>
        <w:t xml:space="preserve">2. billing_number_sequences: Initialisieren mit (org_id, 'RE', 2026, 3) damit die nächste Rechnung RE-2026-00004 wird.</w:t>
      </w:r>
    </w:p>
    <w:p>
      <w:pPr>
        <w:spacing w:after="120"/>
      </w:pPr>
      <w:r>
        <w:rPr>
          <w:sz w:val="22"/>
          <w:szCs w:val="22"/>
        </w:rPr>
        <w:t xml:space="preserve">3. Testdaten RG-2026-TEST-001/002: Status auf 'storniert' setzen oder löschen.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Kurzfristig (P1 — innerhalb 2 Wochen)</w:t>
      </w:r>
    </w:p>
    <w:p>
      <w:pPr>
        <w:spacing w:after="120"/>
      </w:pPr>
      <w:r>
        <w:rPr>
          <w:sz w:val="22"/>
          <w:szCs w:val="22"/>
        </w:rPr>
        <w:t xml:space="preserve">4. create_invoice_draft_atomic(): Caller-Autorisierung einbauen. Zeile nach Eingabevalidierung: IF NOT EXISTS (SELECT 1 FROM organization_members WHERE user_id = auth.uid() AND organization_id = p_org_id) THEN RAISE EXCEPTION.</w:t>
      </w:r>
    </w:p>
    <w:p>
      <w:pPr>
        <w:spacing w:after="120"/>
      </w:pPr>
      <w:r>
        <w:rPr>
          <w:sz w:val="22"/>
          <w:szCs w:val="22"/>
        </w:rPr>
        <w:t xml:space="preserve">5. p_actor_id durch auth.uid() ersetzen statt als Parameter zu akzeptieren.</w:t>
      </w:r>
    </w:p>
    <w:p>
      <w:pPr>
        <w:spacing w:after="120"/>
      </w:pPr>
      <w:r>
        <w:rPr>
          <w:sz w:val="22"/>
          <w:szCs w:val="22"/>
        </w:rPr>
        <w:t xml:space="preserve">6. SEPA Creditor-ID: Echte ID beantragen, Placeholder-Validierung einbauen.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Mittelfristig (P2 — innerhalb 4 Wochen)</w:t>
      </w:r>
    </w:p>
    <w:p>
      <w:pPr>
        <w:spacing w:after="120"/>
      </w:pPr>
      <w:r>
        <w:rPr>
          <w:sz w:val="22"/>
          <w:szCs w:val="22"/>
        </w:rPr>
        <w:t xml:space="preserve">7. billing_audit_trail.actor_id: NOT NULL Constraint hinzufügen.</w:t>
      </w:r>
    </w:p>
    <w:p>
      <w:pPr>
        <w:spacing w:after="120"/>
      </w:pPr>
      <w:r>
        <w:rPr>
          <w:sz w:val="22"/>
          <w:szCs w:val="22"/>
        </w:rPr>
        <w:t xml:space="preserve">8. invoice_number Format standardisieren (RE vs. RG Entscheidung treffen).</w:t>
      </w:r>
    </w:p>
    <w:p>
      <w:pPr>
        <w:spacing w:after="120"/>
      </w:pPr>
      <w:r>
        <w:rPr>
          <w:sz w:val="22"/>
          <w:szCs w:val="22"/>
        </w:rPr>
        <w:t xml:space="preserve">9. billing_gesetzliche_obergrenzen.bestaetigt: Freigabe-Workflow implementieren statt manuelles Flag-Setzen.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Audit-Datum: 2026-08-20 | Supabase-Projekt: nnwyktkqibdjxgimjyuq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VERTRAULICH — Alltagsengel Security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Billing/Budget-Caps &amp; Tarif-Sicherheit Audit</dc:title>
  <dc:creator>Alltagsengel Audit</dc:creator>
  <cp:lastModifiedBy>Un-named</cp:lastModifiedBy>
  <cp:revision>1</cp:revision>
  <dcterms:created xsi:type="dcterms:W3CDTF">2026-08-20T07:31:57.971Z</dcterms:created>
  <dcterms:modified xsi:type="dcterms:W3CDTF">2026-08-20T07:31:57.971Z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