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 w:before="1000"/>
        <w:jc w:val="center"/>
        <w:rPr>
          <w:b/>
          <w:bCs/>
          <w:color w:val="C9963C"/>
          <w:sz w:val="60"/>
          <w:szCs w:val="60"/>
        </w:rPr>
      </w:pPr>
      <w:r>
        <w:t xml:space="preserve">Go-to-Market Strategy</w:t>
      </w:r>
    </w:p>
    <w:p>
      <w:pPr>
        <w:spacing w:after="200" w:before="400"/>
        <w:jc w:val="center"/>
        <w:rPr>
          <w:b/>
          <w:bCs/>
          <w:color w:val="2F2F2F"/>
          <w:sz w:val="32"/>
          <w:szCs w:val="32"/>
        </w:rPr>
      </w:pPr>
      <w:r>
        <w:t xml:space="preserve">AlltagsEngel</w:t>
      </w:r>
    </w:p>
    <w:p>
      <w:pPr>
        <w:spacing w:after="1200" w:before="100"/>
        <w:jc w:val="center"/>
        <w:rPr>
          <w:color w:val="2F2F2F"/>
          <w:sz w:val="24"/>
          <w:szCs w:val="24"/>
        </w:rPr>
      </w:pPr>
      <w:r>
        <w:t xml:space="preserve">Dein Engel für den Alltag</w:t>
      </w:r>
    </w:p>
    <w:p>
      <w:pPr>
        <w:spacing w:after="200" w:before="800"/>
        <w:jc w:val="center"/>
        <w:rPr>
          <w:b/>
          <w:bCs/>
          <w:color w:val="C9963C"/>
          <w:sz w:val="24"/>
          <w:szCs w:val="24"/>
        </w:rPr>
      </w:pPr>
      <w:r>
        <w:t xml:space="preserve">CONFIDENTIAL</w:t>
      </w:r>
    </w:p>
    <w:p>
      <w:pPr>
        <w:spacing w:after="200"/>
        <w:jc w:val="center"/>
        <w:rPr>
          <w:color w:val="2F2F2F"/>
          <w:sz w:val="20"/>
          <w:szCs w:val="20"/>
        </w:rPr>
      </w:pPr>
      <w:r>
        <w:t xml:space="preserve">Investor Data Room</w:t>
      </w:r>
    </w:p>
    <w:p>
      <w:pPr>
        <w:spacing w:before="1200"/>
        <w:jc w:val="center"/>
        <w:rPr>
          <w:color w:val="2F2F2F"/>
          <w:sz w:val="20"/>
          <w:szCs w:val="20"/>
        </w:rPr>
      </w:pPr>
      <w:r>
        <w:t xml:space="preserve">March 2026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Go-to-Market Overview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AlltagsEngel enters the market with a strategic, phase-based approach designed to build trust, establish market presence, and achieve sustainable growth in the care companion ecosystem.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Launch Phases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Soft Launch (Week 1-2): Focus on brand awareness and early adopter engagement through owned and earned channels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Regional Launch (Week 3-4): Expand reach to secondary target segments with partnership activation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National Expansion (Month 2+): Scale across Germany with paid media and strategic partnerships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First Month Targets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500+ App Downloads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50+ Companion Registrations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200+ Newsletter Subscribers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10+ Press Mentions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Target Audience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Primary: Families of Care-Dependent Elderly</w:t>
      </w:r>
    </w:p>
    <w:p>
      <w:pPr>
        <w:spacing w:after="200" w:line="360"/>
        <w:jc w:val="left"/>
        <w:rPr>
          <w:color w:val="2F2F2F"/>
          <w:sz w:val="20"/>
          <w:szCs w:val="20"/>
        </w:rPr>
      </w:pPr>
      <w:r>
        <w:t xml:space="preserve">Decision-makers and primary caregivers managing elderly care needs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Age: 35-55 years old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Digital-savvy professionals with limited time for in-person care coordination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Seeking flexible, trustworthy companion services for aging parents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Secondary: Care-Dependent Individuals</w:t>
      </w:r>
    </w:p>
    <w:p>
      <w:pPr>
        <w:spacing w:after="200" w:line="360"/>
        <w:jc w:val="left"/>
        <w:rPr>
          <w:color w:val="2F2F2F"/>
          <w:sz w:val="20"/>
          <w:szCs w:val="20"/>
        </w:rPr>
      </w:pPr>
      <w:r>
        <w:t xml:space="preserve">Elderly individuals requiring companion support and social engagement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Age: 65+ years old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Often reached through family members and care networks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Value consistency, reliability, and emotional connection in caregiving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Supply Side: Certified Alltagsbegleiter</w:t>
      </w:r>
    </w:p>
    <w:p>
      <w:pPr>
        <w:spacing w:after="200" w:line="360"/>
        <w:jc w:val="left"/>
        <w:rPr>
          <w:color w:val="2F2F2F"/>
          <w:sz w:val="20"/>
          <w:szCs w:val="20"/>
        </w:rPr>
      </w:pPr>
      <w:r>
        <w:t xml:space="preserve">Professionals certified under §53b seeking flexible work opportunities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Certified Alltagsbegleiter (§53b certification)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Looking for flexible, autonomous work arrangements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Interested in building sustainable income through quality placements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Launch Strategy: "Dein Engel für den Alltag"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A carefully orchestrated 4-week campaign introducing AlltagsEngel across multiple channels with messaging tailored to build trust and drive adoption.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Campaign Timeline</w:t>
      </w:r>
    </w:p>
    <w:p>
      <w:pPr>
        <w:pStyle w:val="Heading3"/>
        <w:spacing w:after="150" w:before="200"/>
        <w:rPr>
          <w:b/>
          <w:bCs/>
          <w:color w:val="2F2F2F"/>
          <w:sz w:val="24"/>
          <w:szCs w:val="24"/>
        </w:rPr>
      </w:pPr>
      <w:r>
        <w:t xml:space="preserve">Week 1: "Introduction"</w:t>
      </w:r>
    </w:p>
    <w:p>
      <w:pPr>
        <w:pStyle w:val="ListParagraph"/>
        <w:numPr>
          <w:ilvl w:val="0"/>
          <w:numId w:val="1"/>
        </w:numPr>
        <w:spacing w:after="200" w:before="100" w:line="280"/>
        <w:rPr>
          <w:color w:val="2F2F2F"/>
          <w:sz w:val="20"/>
          <w:szCs w:val="20"/>
        </w:rPr>
      </w:pPr>
      <w:r>
        <w:t xml:space="preserve">Launch &amp; brand awareness - Introduce AlltagsEngel as the trusted solution for everyday care companionship across social media and press channels</w:t>
      </w:r>
    </w:p>
    <w:p>
      <w:pPr>
        <w:pStyle w:val="Heading3"/>
        <w:spacing w:after="150" w:before="200"/>
        <w:rPr>
          <w:b/>
          <w:bCs/>
          <w:color w:val="2F2F2F"/>
          <w:sz w:val="24"/>
          <w:szCs w:val="24"/>
        </w:rPr>
      </w:pPr>
      <w:r>
        <w:t xml:space="preserve">Week 2: "Our Angels"</w:t>
      </w:r>
    </w:p>
    <w:p>
      <w:pPr>
        <w:pStyle w:val="ListParagraph"/>
        <w:numPr>
          <w:ilvl w:val="0"/>
          <w:numId w:val="1"/>
        </w:numPr>
        <w:spacing w:after="200" w:before="100" w:line="280"/>
        <w:rPr>
          <w:color w:val="2F2F2F"/>
          <w:sz w:val="20"/>
          <w:szCs w:val="20"/>
        </w:rPr>
      </w:pPr>
      <w:r>
        <w:t xml:space="preserve">Trust &amp; quality messaging - Highlight Alltagsbegleiter profiles, certifications, and stories of quality companion matches</w:t>
      </w:r>
    </w:p>
    <w:p>
      <w:pPr>
        <w:pStyle w:val="Heading3"/>
        <w:spacing w:after="150" w:before="200"/>
        <w:rPr>
          <w:b/>
          <w:bCs/>
          <w:color w:val="2F2F2F"/>
          <w:sz w:val="24"/>
          <w:szCs w:val="24"/>
        </w:rPr>
      </w:pPr>
      <w:r>
        <w:t xml:space="preserve">Week 3: "Everyday Stories"</w:t>
      </w:r>
    </w:p>
    <w:p>
      <w:pPr>
        <w:pStyle w:val="ListParagraph"/>
        <w:numPr>
          <w:ilvl w:val="0"/>
          <w:numId w:val="1"/>
        </w:numPr>
        <w:spacing w:after="200" w:before="100" w:line="280"/>
        <w:rPr>
          <w:color w:val="2F2F2F"/>
          <w:sz w:val="20"/>
          <w:szCs w:val="20"/>
        </w:rPr>
      </w:pPr>
      <w:r>
        <w:t xml:space="preserve">Emotional connection through user stories - Share real experiences and testimonials showing the impact of companion care</w:t>
      </w:r>
    </w:p>
    <w:p>
      <w:pPr>
        <w:pStyle w:val="Heading3"/>
        <w:spacing w:after="150" w:before="200"/>
        <w:rPr>
          <w:b/>
          <w:bCs/>
          <w:color w:val="2F2F2F"/>
          <w:sz w:val="24"/>
          <w:szCs w:val="24"/>
        </w:rPr>
      </w:pPr>
      <w:r>
        <w:t xml:space="preserve">Week 4: "Get Started"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Conversion focus - Drive app downloads and registrations with clear CTAs and limited-time incentives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Channel Strategy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Multi-channel approach leveraging owned, earned, and social media channels to reach target audiences across their preferred platforms.</w:t>
      </w:r>
    </w:p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Channel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Target Audience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Content Frequency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KPI Targets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LinkedIn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Care industry professionals, B2B partnerships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 posts/week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300+ followers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Instagram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Families, caregivers, companions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4 posts/week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1,000+ followers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TikTok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Younger relatives, secondary audience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 videos/week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500+ followers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Newsletter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All subscribers, nurture funnel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Weekly digest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200+ subscribers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Blog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SEO organic traffic, education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 article/week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2,000+ monthly visitors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Podcast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In-depth listener engagement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Weekly episodes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100+ downloads/episode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Press Releases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Care media, industry publications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Monthly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3+ monthly mentions</w:t>
            </w:r>
          </w:p>
        </w:tc>
      </w:tr>
    </w:tbl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Partnership Strategy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Strategic partnerships extend reach and credibility within the care ecosystem, providing trusted channels to access target customers.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Care Insurance Companies (Pflegekassen)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Co-marketing opportunities for eligible members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Potential referral partnerships for covered companion services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Integration with care coordination platforms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Municipal Care Advisory Offices (Pflegestützpunkte)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Local government partner endorsements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Placement of resources in local care information centers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Joint information sessions and webinars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Physician Networks &amp; Hospitals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Physician referral programs for post-care companion services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Hospital discharge planning partnerships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Patient education resources distribution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Companion Training Organizations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Recruitment partnership for newly certified Alltagsbegleiter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Cross-promotion to training program graduates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Continuing education and skill development collaboration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User Acquisition Funnel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Strategic progression from awareness through conversion and retention, optimizing for cost-effective customer acquisition and lifetime value.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Funnel Stages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Awareness - Social media, PR, content, partnerships reach target audiences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Interest - Educational content, testimonials, and brand storytelling engage consideration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Download - Conversion optimization and clear CTAs drive app installations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Registration - Onboarding flow and value demonstration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First Booking - Quality matching and seamless experience drive first transaction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Retention - Consistent quality, communication, and loyalty programs drive repeat bookings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Customer Acquisition Cost (CAC)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Initial Phase: €15-25 per user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Scale Phase: €8-12 per user</w:t>
      </w:r>
    </w:p>
    <w:p>
      <w:pPr>
        <w:pStyle w:val="ListParagraph"/>
        <w:numPr>
          <w:ilvl w:val="0"/>
          <w:numId w:val="1"/>
        </w:numPr>
        <w:spacing w:after="300" w:before="100" w:line="280"/>
        <w:rPr>
          <w:color w:val="2F2F2F"/>
          <w:sz w:val="20"/>
          <w:szCs w:val="20"/>
        </w:rPr>
      </w:pPr>
      <w:r>
        <w:t xml:space="preserve">Optimization through partner referrals and organic growth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Retention Strategy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Quality Matching - Sophisticated algorithm ensuring compatible companion and user pairings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In-App Communication - Direct messaging and feedback channels for continuous improvement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Loyalty Program - Rewards for consistent bookings and referrals</w:t>
      </w:r>
    </w:p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KPIs &amp; Success Metrics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Comprehensive metrics tracking market penetration, user engagement, and business health across key performance indicators.</w:t>
      </w:r>
    </w:p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Metric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Month 1 Target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Month 6 Target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C9963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Year 1 Target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App Downloads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5,000+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25,000+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Active Users (MAU)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3,000+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12,000+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Companion Registrations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400+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1,500+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Bookings Completed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20+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500+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4,000+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Net Promoter Score (NPS)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50+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60+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65+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User Retention (30-day)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60%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70%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75%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Booking Frequency (Avg)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1.2x/month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2.0x/month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80"/>
              <w:jc w:val="left"/>
            </w:pPr>
            <w:r>
              <w:t xml:space="preserve">3.5x/month</w:t>
            </w:r>
          </w:p>
        </w:tc>
      </w:tr>
    </w:tbl>
    <w:r>
      <w:br w:type="page"/>
    </w:r>
    <w:p>
      <w:pPr>
        <w:spacing w:before="400"/>
      </w:pPr>
    </w:p>
    <w:p>
      <w:pPr>
        <w:pStyle w:val="Heading1"/>
        <w:spacing w:after="300" w:before="400"/>
        <w:rPr>
          <w:b/>
          <w:bCs/>
          <w:color w:val="C9963C"/>
          <w:sz w:val="32"/>
          <w:szCs w:val="32"/>
        </w:rPr>
      </w:pPr>
      <w:r>
        <w:t xml:space="preserve">Budget Allocation</w:t>
      </w:r>
    </w:p>
    <w:p>
      <w:pPr>
        <w:spacing w:after="300" w:line="360"/>
        <w:jc w:val="left"/>
        <w:rPr>
          <w:color w:val="2F2F2F"/>
          <w:sz w:val="20"/>
          <w:szCs w:val="20"/>
        </w:rPr>
      </w:pPr>
      <w:r>
        <w:t xml:space="preserve">First 12 months marketing budget strategically distributed across channels and initiatives to maximize ROI and market penetration.</w:t>
      </w:r>
    </w:p>
    <w:p>
      <w:pPr>
        <w:pStyle w:val="Heading2"/>
        <w:spacing w:after="200" w:before="300"/>
        <w:rPr>
          <w:b/>
          <w:bCs/>
          <w:color w:val="C9963C"/>
          <w:sz w:val="28"/>
          <w:szCs w:val="28"/>
        </w:rPr>
      </w:pPr>
      <w:r>
        <w:t xml:space="preserve">Marketing Budget Breakdown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Digital Advertising: 40%</w:t>
      </w:r>
    </w:p>
    <w:p>
      <w:pPr>
        <w:pStyle w:val="ListParagraph"/>
        <w:numPr>
          <w:ilvl w:val="1"/>
          <w:numId w:val="1"/>
        </w:numPr>
        <w:spacing w:after="150" w:before="50" w:line="260"/>
        <w:rPr>
          <w:color w:val="2F2F2F"/>
          <w:sz w:val="18"/>
          <w:szCs w:val="18"/>
        </w:rPr>
      </w:pPr>
      <w:r>
        <w:t xml:space="preserve">Paid social media campaigns (LinkedIn, Instagram, TikTok), Google Ads, and retargeting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Content Creation: 25%</w:t>
      </w:r>
    </w:p>
    <w:p>
      <w:pPr>
        <w:pStyle w:val="ListParagraph"/>
        <w:numPr>
          <w:ilvl w:val="1"/>
          <w:numId w:val="1"/>
        </w:numPr>
        <w:spacing w:after="150" w:before="50" w:line="260"/>
        <w:rPr>
          <w:color w:val="2F2F2F"/>
          <w:sz w:val="18"/>
          <w:szCs w:val="18"/>
        </w:rPr>
      </w:pPr>
      <w:r>
        <w:t xml:space="preserve">Video production, photography, copywriting, blog articles, podcast production, and translation services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PR &amp; Events: 15%</w:t>
      </w:r>
    </w:p>
    <w:p>
      <w:pPr>
        <w:pStyle w:val="ListParagraph"/>
        <w:numPr>
          <w:ilvl w:val="1"/>
          <w:numId w:val="1"/>
        </w:numPr>
        <w:spacing w:after="150" w:before="50" w:line="260"/>
        <w:rPr>
          <w:color w:val="2F2F2F"/>
          <w:sz w:val="18"/>
          <w:szCs w:val="18"/>
        </w:rPr>
      </w:pPr>
      <w:r>
        <w:t xml:space="preserve">Press releases, media relations, industry events, webinars, and launch events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Partnerships: 10%</w:t>
      </w:r>
    </w:p>
    <w:p>
      <w:pPr>
        <w:pStyle w:val="ListParagraph"/>
        <w:numPr>
          <w:ilvl w:val="1"/>
          <w:numId w:val="1"/>
        </w:numPr>
        <w:spacing w:after="150" w:before="50" w:line="260"/>
        <w:rPr>
          <w:color w:val="2F2F2F"/>
          <w:sz w:val="18"/>
          <w:szCs w:val="18"/>
        </w:rPr>
      </w:pPr>
      <w:r>
        <w:t xml:space="preserve">Co-marketing programs, referral incentives, and partner enablement</w:t>
      </w:r>
    </w:p>
    <w:p>
      <w:pPr>
        <w:pStyle w:val="ListParagraph"/>
        <w:numPr>
          <w:ilvl w:val="0"/>
          <w:numId w:val="1"/>
        </w:numPr>
        <w:spacing w:after="150" w:before="100" w:line="280"/>
        <w:rPr>
          <w:color w:val="2F2F2F"/>
          <w:sz w:val="20"/>
          <w:szCs w:val="20"/>
        </w:rPr>
      </w:pPr>
      <w:r>
        <w:t xml:space="preserve">Tools &amp; Technology: 10%</w:t>
      </w:r>
    </w:p>
    <w:p>
      <w:pPr>
        <w:pStyle w:val="ListParagraph"/>
        <w:numPr>
          <w:ilvl w:val="1"/>
          <w:numId w:val="1"/>
        </w:numPr>
        <w:spacing w:after="150" w:before="50" w:line="260"/>
        <w:rPr>
          <w:color w:val="2F2F2F"/>
          <w:sz w:val="18"/>
          <w:szCs w:val="18"/>
        </w:rPr>
      </w:pPr>
      <w:r>
        <w:t xml:space="preserve">Marketing automation, analytics platforms, design tools, and CRM systems</w:t>
      </w:r>
    </w:p>
    <w:r>
      <w:br w:type="page"/>
    </w:r>
    <w:p>
      <w:pPr>
        <w:spacing w:before="800"/>
      </w:pPr>
    </w:p>
    <w:p>
      <w:pPr>
        <w:spacing w:before="400"/>
        <w:jc w:val="center"/>
        <w:rPr>
          <w:color w:val="2F2F2F"/>
          <w:sz w:val="18"/>
          <w:szCs w:val="18"/>
        </w:rPr>
      </w:pPr>
      <w:r>
        <w:t xml:space="preserve">This document is confidential and intended for use by AlltagsEngel investors and authorized personnel only.</w:t>
      </w:r>
    </w:p>
    <w:p>
      <w:pPr>
        <w:spacing w:before="100"/>
        <w:jc w:val="center"/>
        <w:rPr>
          <w:color w:val="2F2F2F"/>
          <w:sz w:val="18"/>
          <w:szCs w:val="18"/>
        </w:rPr>
      </w:pPr>
      <w:r>
        <w:t xml:space="preserve">Prepared: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2026-03-02T00:28:22.669Z</dcterms:created>
  <dcterms:modified xsi:type="dcterms:W3CDTF">2026-03-02T00:28:22.670Z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