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sz="0"/>
          <w:left w:val="none" w:sz="0"/>
          <w:bottom w:val="none" w:sz="0"/>
          <w:right w:val="none" w:sz="0"/>
          <w:insideH w:val="none" w:sz="0"/>
          <w:insideV w:val="none" w:sz="0"/>
        </w:tblBorders>
      </w:tblPr>
      <w:tblGrid>
        <w:gridCol w:w="2400"/>
        <w:gridCol w:w="4800"/>
        <w:gridCol w:w="2400"/>
      </w:tblGrid>
      <w:tr>
        <w:tc>
          <w:tcPr>
            <w:tcW w:type="dxa" w:w="2400"/>
            <w:tcBorders>
              <w:top w:val="none" w:sz="0"/>
              <w:left w:val="none" w:sz="0"/>
              <w:bottom w:val="none" w:sz="0"/>
              <w:right w:val="none" w:sz="0"/>
            </w:tcBorders>
            <w:vAlign w:val="center"/>
          </w:tcPr>
          <w:p>
            <w:pPr>
              <w:jc w:val="center"/>
            </w:pPr>
            <w:r>
              <w:drawing>
                <wp:inline distT="0" distB="0" distL="0" distR="0">
                  <wp:extent cx="7143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 cy="619125"/>
                          </a:xfrm>
                          <a:prstGeom prst="rect">
                            <a:avLst/>
                          </a:prstGeom>
                        </pic:spPr>
                      </pic:pic>
                    </a:graphicData>
                  </a:graphic>
                </wp:inline>
              </w:drawing>
            </w:r>
          </w:p>
          <w:p>
            <w:pPr>
              <w:spacing w:before="60"/>
              <w:jc w:val="center"/>
            </w:pPr>
            <w:r>
              <w:rPr>
                <w:rFonts w:ascii="Helvetica" w:cs="Helvetica" w:eastAsia="Helvetica" w:hAnsi="Helvetica"/>
                <w:b/>
                <w:bCs/>
                <w:color w:val="B8860B"/>
                <w:sz w:val="16"/>
                <w:szCs w:val="16"/>
              </w:rPr>
              <w:t xml:space="preserve">ALLTAGSENGEL</w:t>
            </w:r>
          </w:p>
        </w:tc>
        <w:tc>
          <w:tcPr>
            <w:tcW w:type="dxa" w:w="4800"/>
            <w:tcBorders>
              <w:top w:val="none" w:sz="0"/>
              <w:left w:val="none" w:sz="0"/>
              <w:bottom w:val="none" w:sz="0"/>
              <w:right w:val="none" w:sz="0"/>
            </w:tcBorders>
            <w:vAlign w:val="center"/>
          </w:tcPr>
          <w:p>
            <w:pPr>
              <w:jc w:val="center"/>
            </w:pPr>
            <w:r>
              <w:rPr>
                <w:rFonts w:ascii="Helvetica" w:cs="Helvetica" w:eastAsia="Helvetica" w:hAnsi="Helvetica"/>
                <w:b/>
                <w:bCs/>
                <w:sz w:val="36"/>
                <w:szCs w:val="36"/>
              </w:rPr>
              <w:t xml:space="preserve">Alltagsengel</w:t>
            </w:r>
          </w:p>
          <w:p>
            <w:pPr>
              <w:jc w:val="center"/>
            </w:pPr>
            <w:r>
              <w:rPr>
                <w:rFonts w:ascii="Helvetica" w:cs="Helvetica" w:eastAsia="Helvetica" w:hAnsi="Helvetica"/>
                <w:color w:val="666666"/>
                <w:sz w:val="18"/>
                <w:szCs w:val="18"/>
              </w:rPr>
              <w:t xml:space="preserve">UG (haftungsbeschränkt)</w:t>
            </w:r>
          </w:p>
        </w:tc>
        <w:tc>
          <w:tcPr>
            <w:tcW w:type="dxa" w:w="2400"/>
            <w:tcBorders>
              <w:top w:val="none" w:sz="0"/>
              <w:left w:val="none" w:sz="0"/>
              <w:bottom w:val="none" w:sz="0"/>
              <w:right w:val="none" w:sz="0"/>
            </w:tcBorders>
            <w:vAlign w:val="center"/>
          </w:tcPr>
          <w:p>
            <w:pPr>
              <w:jc w:val="right"/>
            </w:pPr>
            <w:r>
              <w:rPr>
                <w:rFonts w:ascii="Helvetica" w:cs="Helvetica" w:eastAsia="Helvetica" w:hAnsi="Helvetica"/>
                <w:color w:val="444444"/>
                <w:sz w:val="15"/>
                <w:szCs w:val="15"/>
              </w:rPr>
              <w:t xml:space="preserve">Neue Mainzer Straße 66-68</w:t>
            </w:r>
          </w:p>
          <w:p>
            <w:pPr>
              <w:jc w:val="right"/>
            </w:pPr>
            <w:r>
              <w:rPr>
                <w:rFonts w:ascii="Helvetica" w:cs="Helvetica" w:eastAsia="Helvetica" w:hAnsi="Helvetica"/>
                <w:color w:val="444444"/>
                <w:sz w:val="15"/>
                <w:szCs w:val="15"/>
              </w:rPr>
              <w:t xml:space="preserve">60311 Frankfurt am Main</w:t>
            </w:r>
          </w:p>
          <w:p>
            <w:pPr>
              <w:spacing w:before="80"/>
              <w:jc w:val="right"/>
            </w:pPr>
            <w:r>
              <w:rPr>
                <w:rFonts w:ascii="Helvetica" w:cs="Helvetica" w:eastAsia="Helvetica" w:hAnsi="Helvetica"/>
                <w:color w:val="444444"/>
                <w:sz w:val="15"/>
                <w:szCs w:val="15"/>
              </w:rPr>
              <w:t xml:space="preserve">info@alltagsengel.care</w:t>
            </w:r>
          </w:p>
          <w:p>
            <w:pPr>
              <w:jc w:val="right"/>
            </w:pPr>
            <w:r>
              <w:rPr>
                <w:rFonts w:ascii="Helvetica" w:cs="Helvetica" w:eastAsia="Helvetica" w:hAnsi="Helvetica"/>
                <w:color w:val="444444"/>
                <w:sz w:val="15"/>
                <w:szCs w:val="15"/>
              </w:rPr>
              <w:t xml:space="preserve">www.alltagsengel.care</w:t>
            </w:r>
          </w:p>
        </w:tc>
      </w:tr>
    </w:tbl>
    <w:p>
      <w:pPr>
        <w:pBdr>
          <w:bottom w:val="single" w:color="B8860B" w:sz="6"/>
        </w:pBdr>
        <w:spacing w:before="100"/>
      </w:pPr>
    </w:p>
    <w:p/>
    <w:p>
      <w:pPr>
        <w:spacing w:after="200"/>
        <w:jc w:val="center"/>
      </w:pPr>
      <w:r>
        <w:rPr>
          <w:rFonts w:ascii="Helvetica" w:cs="Helvetica" w:eastAsia="Helvetica" w:hAnsi="Helvetica"/>
          <w:b/>
          <w:bCs/>
          <w:sz w:val="32"/>
          <w:szCs w:val="32"/>
        </w:rPr>
        <w:t xml:space="preserve">KOOPERATIONSVERTRAG</w:t>
      </w:r>
    </w:p>
    <w:p>
      <w:pPr>
        <w:spacing w:after="100"/>
        <w:jc w:val="center"/>
      </w:pPr>
      <w:r>
        <w:rPr>
          <w:rFonts w:ascii="Helvetica" w:cs="Helvetica" w:eastAsia="Helvetica" w:hAnsi="Helvetica"/>
          <w:b/>
          <w:bCs/>
          <w:color w:val="B8860B"/>
          <w:sz w:val="26"/>
          <w:szCs w:val="26"/>
        </w:rPr>
        <w:t xml:space="preserve">Krankenfahrten</w:t>
      </w:r>
    </w:p>
    <w:p>
      <w:pPr>
        <w:spacing w:after="400"/>
        <w:jc w:val="center"/>
      </w:pPr>
      <w:r>
        <w:rPr>
          <w:rFonts w:ascii="Helvetica" w:cs="Helvetica" w:eastAsia="Helvetica" w:hAnsi="Helvetica"/>
          <w:color w:val="666666"/>
          <w:sz w:val="22"/>
          <w:szCs w:val="22"/>
        </w:rPr>
        <w:t xml:space="preserve">mit Wettbewerbsverbot und Vertragsstrafe</w:t>
      </w:r>
    </w:p>
    <w:p/>
    <w:p>
      <w:pPr>
        <w:spacing w:after="100"/>
      </w:pPr>
      <w:r>
        <w:rPr>
          <w:rFonts w:ascii="Helvetica" w:cs="Helvetica" w:eastAsia="Helvetica" w:hAnsi="Helvetica"/>
          <w:b/>
          <w:bCs/>
          <w:sz w:val="20"/>
          <w:szCs w:val="20"/>
        </w:rPr>
        <w:t xml:space="preserve">zwischen</w:t>
      </w:r>
    </w:p>
    <w:p/>
    <w:p>
      <w:pPr>
        <w:spacing w:after="100"/>
      </w:pPr>
      <w:r>
        <w:rPr>
          <w:rFonts w:ascii="Helvetica" w:cs="Helvetica" w:eastAsia="Helvetica" w:hAnsi="Helvetica"/>
          <w:b/>
          <w:bCs/>
          <w:sz w:val="20"/>
          <w:szCs w:val="20"/>
        </w:rPr>
        <w:t xml:space="preserve">Alltagsengel UG (haftungsbeschränkt)</w:t>
      </w:r>
    </w:p>
    <w:p>
      <w:pPr>
        <w:spacing w:after="100"/>
      </w:pPr>
      <w:r>
        <w:rPr>
          <w:rFonts w:ascii="Helvetica" w:cs="Helvetica" w:eastAsia="Helvetica" w:hAnsi="Helvetica"/>
          <w:sz w:val="20"/>
          <w:szCs w:val="20"/>
        </w:rPr>
        <w:t xml:space="preserve">Neue Mainzer Straße 66-68, 60311 Frankfurt am Main</w:t>
      </w:r>
    </w:p>
    <w:p>
      <w:pPr>
        <w:spacing w:after="100"/>
      </w:pPr>
      <w:r>
        <w:rPr>
          <w:rFonts w:ascii="Helvetica" w:cs="Helvetica" w:eastAsia="Helvetica" w:hAnsi="Helvetica"/>
          <w:sz w:val="20"/>
          <w:szCs w:val="20"/>
        </w:rPr>
        <w:t xml:space="preserve">vertreten durch die Geschäftsführung</w:t>
      </w:r>
    </w:p>
    <w:p>
      <w:pPr>
        <w:spacing w:after="100"/>
      </w:pPr>
      <w:r>
        <w:rPr>
          <w:rFonts w:ascii="Helvetica" w:cs="Helvetica" w:eastAsia="Helvetica" w:hAnsi="Helvetica"/>
          <w:sz w:val="20"/>
          <w:szCs w:val="20"/>
        </w:rPr>
        <w:t xml:space="preserve">— nachfolgend „Alltagsengel“ —</w:t>
      </w:r>
    </w:p>
    <w:p/>
    <w:p>
      <w:pPr>
        <w:spacing w:after="100"/>
      </w:pPr>
      <w:r>
        <w:rPr>
          <w:rFonts w:ascii="Helvetica" w:cs="Helvetica" w:eastAsia="Helvetica" w:hAnsi="Helvetica"/>
          <w:b/>
          <w:bCs/>
          <w:sz w:val="20"/>
          <w:szCs w:val="20"/>
        </w:rPr>
        <w:t xml:space="preserve">und</w:t>
      </w:r>
    </w:p>
    <w:p/>
    <w:p>
      <w:r>
        <w:rPr>
          <w:rFonts w:ascii="Helvetica" w:cs="Helvetica" w:eastAsia="Helvetica" w:hAnsi="Helvetica"/>
          <w:sz w:val="22"/>
          <w:szCs w:val="22"/>
          <w:highlight w:val="yellow"/>
          <w:highlightCs w:val="yellow"/>
        </w:rPr>
        <w:t xml:space="preserve">[Firma/Name des Kooperationspartner]</w:t>
      </w:r>
    </w:p>
    <w:p>
      <w:r>
        <w:rPr>
          <w:rFonts w:ascii="Helvetica" w:cs="Helvetica" w:eastAsia="Helvetica" w:hAnsi="Helvetica"/>
          <w:sz w:val="20"/>
          <w:szCs w:val="20"/>
          <w:highlight w:val="yellow"/>
          <w:highlightCs w:val="yellow"/>
        </w:rPr>
        <w:t xml:space="preserve">[Adresse]</w:t>
      </w:r>
    </w:p>
    <w:p>
      <w:r>
        <w:rPr>
          <w:rFonts w:ascii="Helvetica" w:cs="Helvetica" w:eastAsia="Helvetica" w:hAnsi="Helvetica"/>
          <w:sz w:val="20"/>
          <w:szCs w:val="20"/>
          <w:highlight w:val="yellow"/>
          <w:highlightCs w:val="yellow"/>
        </w:rPr>
        <w:t xml:space="preserve">[vertreten durch ________]</w:t>
      </w:r>
    </w:p>
    <w:p>
      <w:pPr>
        <w:spacing w:after="100"/>
      </w:pPr>
      <w:r>
        <w:rPr>
          <w:rFonts w:ascii="Helvetica" w:cs="Helvetica" w:eastAsia="Helvetica" w:hAnsi="Helvetica"/>
          <w:sz w:val="20"/>
          <w:szCs w:val="20"/>
        </w:rPr>
        <w:t xml:space="preserve">— nachfolgend „Kooperationspartner“ —</w:t>
      </w:r>
    </w:p>
    <w:p/>
    <w:p>
      <w:pPr>
        <w:spacing w:after="100"/>
      </w:pPr>
      <w:r>
        <w:rPr>
          <w:rFonts w:ascii="Helvetica" w:cs="Helvetica" w:eastAsia="Helvetica" w:hAnsi="Helvetica"/>
          <w:sz w:val="20"/>
          <w:szCs w:val="20"/>
        </w:rPr>
        <w:t xml:space="preserve">— gemeinsam „die Parteien“ —</w:t>
      </w:r>
    </w:p>
    <w:p/>
    <w:p>
      <w:pPr>
        <w:pStyle w:val="Heading2"/>
        <w:spacing w:after="150" w:before="300"/>
      </w:pPr>
      <w:r>
        <w:rPr>
          <w:rFonts w:ascii="Helvetica" w:cs="Helvetica" w:eastAsia="Helvetica" w:hAnsi="Helvetica"/>
          <w:b/>
          <w:bCs/>
          <w:color w:val="000000"/>
          <w:sz w:val="24"/>
          <w:szCs w:val="24"/>
        </w:rPr>
        <w:t xml:space="preserve">§ 1 Gegenstand der Kooperation</w:t>
      </w:r>
    </w:p>
    <w:p>
      <w:pPr>
        <w:spacing w:after="100"/>
      </w:pPr>
      <w:r>
        <w:rPr>
          <w:rFonts w:ascii="Helvetica" w:cs="Helvetica" w:eastAsia="Helvetica" w:hAnsi="Helvetica"/>
          <w:sz w:val="20"/>
          <w:szCs w:val="20"/>
        </w:rPr>
        <w:t xml:space="preserve">(1) Die Parteien vereinbaren eine Zusammenarbeit im Bereich der Krankenfahrten und Patiententransporte. Der Kooperationspartner erbringt Krankenfahrten für Kunden, die durch Alltagsengel vermittelt werden.</w:t>
      </w:r>
    </w:p>
    <w:p>
      <w:pPr>
        <w:spacing w:after="100"/>
      </w:pPr>
      <w:r>
        <w:rPr>
          <w:rFonts w:ascii="Helvetica" w:cs="Helvetica" w:eastAsia="Helvetica" w:hAnsi="Helvetica"/>
          <w:sz w:val="20"/>
          <w:szCs w:val="20"/>
        </w:rPr>
        <w:t xml:space="preserve">(2) Alltagsengel vermittelt dem Kooperationspartner Kunden, die regelmäßige oder einmalige Krankenfahrten (z. B. zu Ärzten, Kliniken, Therapien, Dialyse) benötigen. Der Kooperationspartner führt die Fahrten eigenverantwortlich, mit eigenen Fahrzeugen und auf eigene Rechnung durch.</w:t>
      </w:r>
    </w:p>
    <w:p>
      <w:pPr>
        <w:spacing w:after="100"/>
      </w:pPr>
      <w:r>
        <w:rPr>
          <w:rFonts w:ascii="Helvetica" w:cs="Helvetica" w:eastAsia="Helvetica" w:hAnsi="Helvetica"/>
          <w:sz w:val="20"/>
          <w:szCs w:val="20"/>
        </w:rPr>
        <w:t xml:space="preserve">(3) Der Kooperationspartner kann im Gegenzug Kunden an Alltagsengel vermitteln, insbesondere für Alltagsbegleitung nach § 45a SGB XI, Pflegeboxen oder Hausnotruf.</w:t>
      </w:r>
    </w:p>
    <w:p>
      <w:pPr>
        <w:pStyle w:val="Heading2"/>
        <w:spacing w:after="150" w:before="300"/>
      </w:pPr>
      <w:r>
        <w:rPr>
          <w:rFonts w:ascii="Helvetica" w:cs="Helvetica" w:eastAsia="Helvetica" w:hAnsi="Helvetica"/>
          <w:b/>
          <w:bCs/>
          <w:color w:val="000000"/>
          <w:sz w:val="24"/>
          <w:szCs w:val="24"/>
        </w:rPr>
        <w:t xml:space="preserve">§ 2 Definition vermittelter Kunde</w:t>
      </w:r>
    </w:p>
    <w:p>
      <w:pPr>
        <w:spacing w:after="100"/>
      </w:pPr>
      <w:r>
        <w:rPr>
          <w:rFonts w:ascii="Helvetica" w:cs="Helvetica" w:eastAsia="Helvetica" w:hAnsi="Helvetica"/>
          <w:sz w:val="20"/>
          <w:szCs w:val="20"/>
        </w:rPr>
        <w:t xml:space="preserve">(1) Als „vermittelter Kunde“ gilt eine Person oder Institution, die von einer Partei der anderen Partei nachweislich zum Zweck der Leistungserbringung benannt wurde.</w:t>
      </w:r>
    </w:p>
    <w:p>
      <w:pPr>
        <w:spacing w:after="100"/>
      </w:pPr>
      <w:r>
        <w:rPr>
          <w:rFonts w:ascii="Helvetica" w:cs="Helvetica" w:eastAsia="Helvetica" w:hAnsi="Helvetica"/>
          <w:sz w:val="20"/>
          <w:szCs w:val="20"/>
        </w:rPr>
        <w:t xml:space="preserve">(2) Die Vermittlung gilt als erfolgt, sobald der Kunde schriftlich (per E-Mail, CRM-Eintrag, WhatsApp-Nachricht oder sonstige dokumentierte Form) der jeweils anderen Partei mitgeteilt wurde.</w:t>
      </w:r>
    </w:p>
    <w:p>
      <w:pPr>
        <w:spacing w:after="100"/>
      </w:pPr>
      <w:r>
        <w:rPr>
          <w:rFonts w:ascii="Helvetica" w:cs="Helvetica" w:eastAsia="Helvetica" w:hAnsi="Helvetica"/>
          <w:sz w:val="20"/>
          <w:szCs w:val="20"/>
        </w:rPr>
        <w:t xml:space="preserve">(3) Beide Parteien führen eine gemeinsame oder jeweils eigene Kundenliste, in der vermittelte Kunden mit Datum und Quelle dokumentiert werden. Diese Dokumentation gilt als Nachweis im Streitfall.</w:t>
      </w:r>
    </w:p>
    <w:p>
      <w:pPr>
        <w:spacing w:after="100"/>
      </w:pPr>
      <w:r>
        <w:rPr>
          <w:rFonts w:ascii="Helvetica" w:cs="Helvetica" w:eastAsia="Helvetica" w:hAnsi="Helvetica"/>
          <w:sz w:val="20"/>
          <w:szCs w:val="20"/>
        </w:rPr>
        <w:t xml:space="preserve">(4) Ein Kunde, der eigenständig und ohne Mitwirkung der anderen Partei Kontakt aufnimmt (z. B. über Internetrecherche, Empfehlung Dritter), gilt nicht als vermittelt und begründet keinen Provisionsanspruch.</w:t>
      </w:r>
    </w:p>
    <w:p>
      <w:pPr>
        <w:pStyle w:val="Heading2"/>
        <w:spacing w:after="150" w:before="300"/>
      </w:pPr>
      <w:r>
        <w:rPr>
          <w:rFonts w:ascii="Helvetica" w:cs="Helvetica" w:eastAsia="Helvetica" w:hAnsi="Helvetica"/>
          <w:b/>
          <w:bCs/>
          <w:color w:val="000000"/>
          <w:sz w:val="24"/>
          <w:szCs w:val="24"/>
        </w:rPr>
        <w:t xml:space="preserve">§ 3 Vergütung und Provisionen</w:t>
      </w:r>
    </w:p>
    <w:p>
      <w:pPr>
        <w:spacing w:after="100"/>
      </w:pPr>
      <w:r>
        <w:rPr>
          <w:rFonts w:ascii="Helvetica" w:cs="Helvetica" w:eastAsia="Helvetica" w:hAnsi="Helvetica"/>
          <w:sz w:val="20"/>
          <w:szCs w:val="20"/>
        </w:rPr>
        <w:t xml:space="preserve">(1) Für jede erfolgreiche Vermittlung gemäß § 2 erhält die vermittelnde Partei eine Provision in Höhe von [___] % des Nettoumsatzes / [___] € pauschal pro vermitteltem Kunden.</w:t>
      </w:r>
    </w:p>
    <w:p>
      <w:pPr>
        <w:spacing w:after="100"/>
      </w:pPr>
      <w:r>
        <w:rPr>
          <w:rFonts w:ascii="Helvetica" w:cs="Helvetica" w:eastAsia="Helvetica" w:hAnsi="Helvetica"/>
          <w:sz w:val="20"/>
          <w:szCs w:val="20"/>
        </w:rPr>
        <w:t xml:space="preserve">(2) Die Provision bezieht sich auf den Nettoumsatz (ohne Umsatzsteuer), den der Kooperationspartner mit dem vermittelten Kunden erzielt.</w:t>
      </w:r>
    </w:p>
    <w:p>
      <w:pPr>
        <w:spacing w:after="100"/>
      </w:pPr>
      <w:r>
        <w:rPr>
          <w:rFonts w:ascii="Helvetica" w:cs="Helvetica" w:eastAsia="Helvetica" w:hAnsi="Helvetica"/>
          <w:sz w:val="20"/>
          <w:szCs w:val="20"/>
        </w:rPr>
        <w:t xml:space="preserve">(3) Die Provisionsabrechnung erfolgt monatlich bis zum 10. des Folgemonats. Die Zahlung ist innerhalb von 14 Tagen nach Rechnungsstellung fällig.</w:t>
      </w:r>
    </w:p>
    <w:p>
      <w:pPr>
        <w:spacing w:after="100"/>
      </w:pPr>
      <w:r>
        <w:rPr>
          <w:rFonts w:ascii="Helvetica" w:cs="Helvetica" w:eastAsia="Helvetica" w:hAnsi="Helvetica"/>
          <w:sz w:val="20"/>
          <w:szCs w:val="20"/>
        </w:rPr>
        <w:t xml:space="preserve">(4) Stornierungen innerhalb von 14 Tagen nach Vermittlung begründen keinen Provisionsanspruch. Bei Zahlungsausfall des Endkunden entfällt der Provisionsanspruch für die betroffene Leistung.</w:t>
      </w:r>
    </w:p>
    <w:p>
      <w:pPr>
        <w:spacing w:after="100"/>
      </w:pPr>
      <w:r>
        <w:rPr>
          <w:rFonts w:ascii="Helvetica" w:cs="Helvetica" w:eastAsia="Helvetica" w:hAnsi="Helvetica"/>
          <w:sz w:val="20"/>
          <w:szCs w:val="20"/>
        </w:rPr>
        <w:t xml:space="preserve">(5) Der Provisionsanspruch entsteht mit der ersten Leistungserbringung an den vermittelten Kunden und gilt für die gesamte Dauer der Kundenbeziehung, auch über das Vertragsende hinaus (Bestandsschutz für bereits vermittelte Kunden).</w:t>
      </w:r>
    </w:p>
    <w:p>
      <w:pPr>
        <w:pStyle w:val="Heading2"/>
        <w:spacing w:after="150" w:before="300"/>
      </w:pPr>
      <w:r>
        <w:rPr>
          <w:rFonts w:ascii="Helvetica" w:cs="Helvetica" w:eastAsia="Helvetica" w:hAnsi="Helvetica"/>
          <w:b/>
          <w:bCs/>
          <w:color w:val="000000"/>
          <w:sz w:val="24"/>
          <w:szCs w:val="24"/>
        </w:rPr>
        <w:t xml:space="preserve">§ 4 Auskunfts- und Prüfungsrecht</w:t>
      </w:r>
    </w:p>
    <w:p>
      <w:pPr>
        <w:spacing w:after="100"/>
      </w:pPr>
      <w:r>
        <w:rPr>
          <w:rFonts w:ascii="Helvetica" w:cs="Helvetica" w:eastAsia="Helvetica" w:hAnsi="Helvetica"/>
          <w:sz w:val="20"/>
          <w:szCs w:val="20"/>
        </w:rPr>
        <w:t xml:space="preserve">(1) Alltagsengel hat das Recht, die provisionsrelevanten Unterlagen des Kooperationspartners einzusehen, soweit dies zur Überprüfung der korrekten Provisionsabrechnung erforderlich ist.</w:t>
      </w:r>
    </w:p>
    <w:p>
      <w:pPr>
        <w:spacing w:after="100"/>
      </w:pPr>
      <w:r>
        <w:rPr>
          <w:rFonts w:ascii="Helvetica" w:cs="Helvetica" w:eastAsia="Helvetica" w:hAnsi="Helvetica"/>
          <w:sz w:val="20"/>
          <w:szCs w:val="20"/>
        </w:rPr>
        <w:t xml:space="preserve">(2) Der Kooperationspartner ist verpflichtet, auf Anfrage innerhalb von 14 Tagen die relevanten Abrechnungsunterlagen vorzulegen.</w:t>
      </w:r>
    </w:p>
    <w:p>
      <w:pPr>
        <w:spacing w:after="100"/>
      </w:pPr>
      <w:r>
        <w:rPr>
          <w:rFonts w:ascii="Helvetica" w:cs="Helvetica" w:eastAsia="Helvetica" w:hAnsi="Helvetica"/>
          <w:sz w:val="20"/>
          <w:szCs w:val="20"/>
        </w:rPr>
        <w:t xml:space="preserve">(3) Dieses Recht besteht auch 12 Monate nach Vertragsende fort.</w:t>
      </w:r>
    </w:p>
    <w:p>
      <w:pPr>
        <w:pStyle w:val="Heading2"/>
        <w:spacing w:after="150" w:before="300"/>
      </w:pPr>
      <w:r>
        <w:rPr>
          <w:rFonts w:ascii="Helvetica" w:cs="Helvetica" w:eastAsia="Helvetica" w:hAnsi="Helvetica"/>
          <w:b/>
          <w:bCs/>
          <w:color w:val="8B0000"/>
          <w:sz w:val="24"/>
          <w:szCs w:val="24"/>
        </w:rPr>
        <w:t xml:space="preserve">§ 5 Wettbewerbsverbot und Abwerbeverbot</w:t>
      </w:r>
    </w:p>
    <w:p>
      <w:pPr>
        <w:spacing w:after="100"/>
      </w:pPr>
      <w:r>
        <w:rPr>
          <w:rFonts w:ascii="Helvetica" w:cs="Helvetica" w:eastAsia="Helvetica" w:hAnsi="Helvetica"/>
          <w:sz w:val="20"/>
          <w:szCs w:val="20"/>
        </w:rPr>
        <w:t xml:space="preserve">(1) Beiden Parteien ist es während der Vertragslaufzeit und für einen Zeitraum von 12 Monaten nach Vertragsende untersagt, vermittelte Kunden gemäß § 2 direkt oder indirekt abzuwerben, zu kontaktieren oder Geschäfte mit diesen Kunden unter Umgehung der anderen Partei zu tätigen.</w:t>
      </w:r>
    </w:p>
    <w:p>
      <w:pPr>
        <w:spacing w:after="100"/>
      </w:pPr>
      <w:r>
        <w:rPr>
          <w:rFonts w:ascii="Helvetica" w:cs="Helvetica" w:eastAsia="Helvetica" w:hAnsi="Helvetica"/>
          <w:sz w:val="20"/>
          <w:szCs w:val="20"/>
        </w:rPr>
        <w:t xml:space="preserve">(2) Das Verbot gemäß Absatz 1 gilt insbesondere für:</w:t>
      </w:r>
    </w:p>
    <w:p>
      <w:pPr>
        <w:spacing w:after="60"/>
        <w:ind w:left="400"/>
      </w:pPr>
      <w:r>
        <w:rPr>
          <w:rFonts w:ascii="Helvetica" w:cs="Helvetica" w:eastAsia="Helvetica" w:hAnsi="Helvetica"/>
          <w:sz w:val="20"/>
          <w:szCs w:val="20"/>
        </w:rPr>
        <w:t xml:space="preserve">a) die direkte Kontaktaufnahme mit vermittelten Kunden oder deren Angehörigen zum Zweck des Angebots eigener Fahrdienst- oder Transportleistungen;</w:t>
      </w:r>
    </w:p>
    <w:p>
      <w:pPr>
        <w:spacing w:after="60"/>
        <w:ind w:left="400"/>
      </w:pPr>
      <w:r>
        <w:rPr>
          <w:rFonts w:ascii="Helvetica" w:cs="Helvetica" w:eastAsia="Helvetica" w:hAnsi="Helvetica"/>
          <w:sz w:val="20"/>
          <w:szCs w:val="20"/>
        </w:rPr>
        <w:t xml:space="preserve">b) die Weitergabe von Kundendaten an Dritte;</w:t>
      </w:r>
    </w:p>
    <w:p>
      <w:pPr>
        <w:spacing w:after="60"/>
        <w:ind w:left="400"/>
      </w:pPr>
      <w:r>
        <w:rPr>
          <w:rFonts w:ascii="Helvetica" w:cs="Helvetica" w:eastAsia="Helvetica" w:hAnsi="Helvetica"/>
          <w:sz w:val="20"/>
          <w:szCs w:val="20"/>
        </w:rPr>
        <w:t xml:space="preserve">c) das Anbieten von Krankenfahrten, Patiententransporten oder vergleichbaren Leistungen an vermittelte Kunden unter Umgehung von Alltagsengel;</w:t>
      </w:r>
    </w:p>
    <w:p>
      <w:pPr>
        <w:spacing w:after="60"/>
        <w:ind w:left="400"/>
      </w:pPr>
      <w:r>
        <w:rPr>
          <w:rFonts w:ascii="Helvetica" w:cs="Helvetica" w:eastAsia="Helvetica" w:hAnsi="Helvetica"/>
          <w:sz w:val="20"/>
          <w:szCs w:val="20"/>
        </w:rPr>
        <w:t xml:space="preserve">d) die Beschäftigung oder Beauftragung von aktiven Mitarbeitern der jeweils anderen Partei während der Vertragslaufzeit und 12 Monate nach Vertragsende. Als aktive Mitarbeiter gelten festangestellte sowie freie Mitarbeiter mit laufendem Vertrag.</w:t>
      </w:r>
    </w:p>
    <w:p>
      <w:pPr>
        <w:spacing w:after="100"/>
      </w:pPr>
      <w:r>
        <w:rPr>
          <w:rFonts w:ascii="Helvetica" w:cs="Helvetica" w:eastAsia="Helvetica" w:hAnsi="Helvetica"/>
          <w:sz w:val="20"/>
          <w:szCs w:val="20"/>
        </w:rPr>
        <w:t xml:space="preserve">(3) Die Parteien verpflichten sich, sämtliche Kundendaten vertraulich zu behandeln und ausschließlich zum Zweck der vereinbarten Kooperation zu verwenden.</w:t>
      </w:r>
    </w:p>
    <w:p>
      <w:pPr>
        <w:spacing w:after="100"/>
      </w:pPr>
      <w:r>
        <w:rPr>
          <w:rFonts w:ascii="Helvetica" w:cs="Helvetica" w:eastAsia="Helvetica" w:hAnsi="Helvetica"/>
          <w:sz w:val="20"/>
          <w:szCs w:val="20"/>
        </w:rPr>
        <w:t xml:space="preserve">(4) Das Wettbewerbsverbot beschränkt sich auf die gemäß § 2 dokumentierten vermittelten Kunden. Kunden, die eigenständig und nachweislich ohne Mitwirkung der anderen Partei gewonnen wurden, sind hiervon nicht betroffen.</w:t>
      </w:r>
    </w:p>
    <w:p>
      <w:pPr>
        <w:pStyle w:val="Heading2"/>
        <w:spacing w:after="150" w:before="300"/>
      </w:pPr>
      <w:r>
        <w:rPr>
          <w:rFonts w:ascii="Helvetica" w:cs="Helvetica" w:eastAsia="Helvetica" w:hAnsi="Helvetica"/>
          <w:b/>
          <w:bCs/>
          <w:color w:val="8B0000"/>
          <w:sz w:val="24"/>
          <w:szCs w:val="24"/>
        </w:rPr>
        <w:t xml:space="preserve">§ 6 Vertragsstrafe</w:t>
      </w:r>
    </w:p>
    <w:p>
      <w:pPr>
        <w:spacing w:after="100"/>
      </w:pPr>
      <w:r>
        <w:rPr>
          <w:rFonts w:ascii="Helvetica" w:cs="Helvetica" w:eastAsia="Helvetica" w:hAnsi="Helvetica"/>
          <w:sz w:val="20"/>
          <w:szCs w:val="20"/>
        </w:rPr>
        <w:t xml:space="preserve">(1) Bei einem ersten Verstoß gegen das Wettbewerbsverbot oder Abwerbeverbot gemäß § 5 wird eine Vertragsstrafe in Höhe von </w:t>
      </w:r>
      <w:r>
        <w:rPr>
          <w:rFonts w:ascii="Helvetica" w:cs="Helvetica" w:eastAsia="Helvetica" w:hAnsi="Helvetica"/>
          <w:b/>
          <w:bCs/>
          <w:sz w:val="20"/>
          <w:szCs w:val="20"/>
        </w:rPr>
        <w:t xml:space="preserve">5.000,00 € (fünftausend Euro)</w:t>
      </w:r>
      <w:r>
        <w:rPr>
          <w:rFonts w:ascii="Helvetica" w:cs="Helvetica" w:eastAsia="Helvetica" w:hAnsi="Helvetica"/>
          <w:sz w:val="20"/>
          <w:szCs w:val="20"/>
        </w:rPr>
        <w:t xml:space="preserve"> je Einzelfall fällig.</w:t>
      </w:r>
    </w:p>
    <w:p>
      <w:pPr>
        <w:spacing w:after="100"/>
      </w:pPr>
      <w:r>
        <w:rPr>
          <w:rFonts w:ascii="Helvetica" w:cs="Helvetica" w:eastAsia="Helvetica" w:hAnsi="Helvetica"/>
          <w:sz w:val="20"/>
          <w:szCs w:val="20"/>
        </w:rPr>
        <w:t xml:space="preserve">(2) Bei wiederholtem Verstoß erhöht sich die Vertragsstrafe auf </w:t>
      </w:r>
      <w:r>
        <w:rPr>
          <w:rFonts w:ascii="Helvetica" w:cs="Helvetica" w:eastAsia="Helvetica" w:hAnsi="Helvetica"/>
          <w:b/>
          <w:bCs/>
          <w:sz w:val="20"/>
          <w:szCs w:val="20"/>
        </w:rPr>
        <w:t xml:space="preserve">10.000,00 € (zehntausend Euro)</w:t>
      </w:r>
      <w:r>
        <w:rPr>
          <w:rFonts w:ascii="Helvetica" w:cs="Helvetica" w:eastAsia="Helvetica" w:hAnsi="Helvetica"/>
          <w:sz w:val="20"/>
          <w:szCs w:val="20"/>
        </w:rPr>
        <w:t xml:space="preserve"> je weiterem Einzelfall.</w:t>
      </w:r>
    </w:p>
    <w:p>
      <w:pPr>
        <w:spacing w:after="100"/>
      </w:pPr>
      <w:r>
        <w:rPr>
          <w:rFonts w:ascii="Helvetica" w:cs="Helvetica" w:eastAsia="Helvetica" w:hAnsi="Helvetica"/>
          <w:sz w:val="20"/>
          <w:szCs w:val="20"/>
        </w:rPr>
        <w:t xml:space="preserve">(3) Die Geltendmachung eines darüber hinausgehenden Schadensersatzanspruchs bleibt ausdrücklich vorbehalten. Die Vertragsstrafe wird auf einen etwaigen Schadensersatzanspruch angerechnet.</w:t>
      </w:r>
    </w:p>
    <w:p>
      <w:pPr>
        <w:spacing w:after="100"/>
      </w:pPr>
      <w:r>
        <w:rPr>
          <w:rFonts w:ascii="Helvetica" w:cs="Helvetica" w:eastAsia="Helvetica" w:hAnsi="Helvetica"/>
          <w:sz w:val="20"/>
          <w:szCs w:val="20"/>
        </w:rPr>
        <w:t xml:space="preserve">(4) Die Vertragsstrafe setzt voraus, dass der Verstoß vorsätzlich oder fahrlässig begangen wurde.</w:t>
      </w:r>
    </w:p>
    <w:p>
      <w:pPr>
        <w:spacing w:after="100"/>
      </w:pPr>
      <w:r>
        <w:rPr>
          <w:rFonts w:ascii="Helvetica" w:cs="Helvetica" w:eastAsia="Helvetica" w:hAnsi="Helvetica"/>
          <w:sz w:val="20"/>
          <w:szCs w:val="20"/>
        </w:rPr>
        <w:t xml:space="preserve">(5) Die Vertragsstrafe ist für jeden Einzelfall gesondert verwirkt.</w:t>
      </w:r>
    </w:p>
    <w:p>
      <w:pPr>
        <w:pStyle w:val="Heading2"/>
        <w:spacing w:after="150" w:before="300"/>
      </w:pPr>
      <w:r>
        <w:rPr>
          <w:rFonts w:ascii="Helvetica" w:cs="Helvetica" w:eastAsia="Helvetica" w:hAnsi="Helvetica"/>
          <w:b/>
          <w:bCs/>
          <w:color w:val="000000"/>
          <w:sz w:val="24"/>
          <w:szCs w:val="24"/>
        </w:rPr>
        <w:t xml:space="preserve">§ 7 Vertraulichkeit und Datenschutz</w:t>
      </w:r>
    </w:p>
    <w:p>
      <w:pPr>
        <w:spacing w:after="100"/>
      </w:pPr>
      <w:r>
        <w:rPr>
          <w:rFonts w:ascii="Helvetica" w:cs="Helvetica" w:eastAsia="Helvetica" w:hAnsi="Helvetica"/>
          <w:sz w:val="20"/>
          <w:szCs w:val="20"/>
        </w:rPr>
        <w:t xml:space="preserve">(1) Die Parteien verpflichten sich, alle im Rahmen der Kooperation erlangten Geschäfts- und Betriebsgeheimnisse streng vertraulich zu behandeln.</w:t>
      </w:r>
    </w:p>
    <w:p>
      <w:pPr>
        <w:spacing w:after="100"/>
      </w:pPr>
      <w:r>
        <w:rPr>
          <w:rFonts w:ascii="Helvetica" w:cs="Helvetica" w:eastAsia="Helvetica" w:hAnsi="Helvetica"/>
          <w:sz w:val="20"/>
          <w:szCs w:val="20"/>
        </w:rPr>
        <w:t xml:space="preserve">(2) Als vertraulich gelten insbesondere:</w:t>
      </w:r>
    </w:p>
    <w:p>
      <w:pPr>
        <w:spacing w:after="60"/>
        <w:ind w:left="400"/>
      </w:pPr>
      <w:r>
        <w:rPr>
          <w:rFonts w:ascii="Helvetica" w:cs="Helvetica" w:eastAsia="Helvetica" w:hAnsi="Helvetica"/>
          <w:sz w:val="20"/>
          <w:szCs w:val="20"/>
        </w:rPr>
        <w:t xml:space="preserve">a) Kundenlisten, Kundendaten und Kontaktinformationen;</w:t>
      </w:r>
    </w:p>
    <w:p>
      <w:pPr>
        <w:spacing w:after="60"/>
        <w:ind w:left="400"/>
      </w:pPr>
      <w:r>
        <w:rPr>
          <w:rFonts w:ascii="Helvetica" w:cs="Helvetica" w:eastAsia="Helvetica" w:hAnsi="Helvetica"/>
          <w:sz w:val="20"/>
          <w:szCs w:val="20"/>
        </w:rPr>
        <w:t xml:space="preserve">b) Preis- und Konditionslisten;</w:t>
      </w:r>
    </w:p>
    <w:p>
      <w:pPr>
        <w:spacing w:after="60"/>
        <w:ind w:left="400"/>
      </w:pPr>
      <w:r>
        <w:rPr>
          <w:rFonts w:ascii="Helvetica" w:cs="Helvetica" w:eastAsia="Helvetica" w:hAnsi="Helvetica"/>
          <w:sz w:val="20"/>
          <w:szCs w:val="20"/>
        </w:rPr>
        <w:t xml:space="preserve">c) Vertragsinhalte und Geschäftsbedingungen;</w:t>
      </w:r>
    </w:p>
    <w:p>
      <w:pPr>
        <w:spacing w:after="60"/>
        <w:ind w:left="400"/>
      </w:pPr>
      <w:r>
        <w:rPr>
          <w:rFonts w:ascii="Helvetica" w:cs="Helvetica" w:eastAsia="Helvetica" w:hAnsi="Helvetica"/>
          <w:sz w:val="20"/>
          <w:szCs w:val="20"/>
        </w:rPr>
        <w:t xml:space="preserve">d) interne Prozesse, CRM-Daten und Abrechnungsunterlagen;</w:t>
      </w:r>
    </w:p>
    <w:p>
      <w:pPr>
        <w:spacing w:after="60"/>
        <w:ind w:left="400"/>
      </w:pPr>
      <w:r>
        <w:rPr>
          <w:rFonts w:ascii="Helvetica" w:cs="Helvetica" w:eastAsia="Helvetica" w:hAnsi="Helvetica"/>
          <w:sz w:val="20"/>
          <w:szCs w:val="20"/>
        </w:rPr>
        <w:t xml:space="preserve">e) Mitarbeiterdaten und Personalinformationen.</w:t>
      </w:r>
    </w:p>
    <w:p>
      <w:pPr>
        <w:spacing w:after="100"/>
      </w:pPr>
      <w:r>
        <w:rPr>
          <w:rFonts w:ascii="Helvetica" w:cs="Helvetica" w:eastAsia="Helvetica" w:hAnsi="Helvetica"/>
          <w:sz w:val="20"/>
          <w:szCs w:val="20"/>
        </w:rPr>
        <w:t xml:space="preserve">(3) Die Parteien stellen die Einhaltung der DSGVO sicher. Soweit erforderlich, schließen die Parteien einen gesonderten Auftragsverarbeitungsvertrag.</w:t>
      </w:r>
    </w:p>
    <w:p>
      <w:pPr>
        <w:spacing w:after="100"/>
      </w:pPr>
      <w:r>
        <w:rPr>
          <w:rFonts w:ascii="Helvetica" w:cs="Helvetica" w:eastAsia="Helvetica" w:hAnsi="Helvetica"/>
          <w:sz w:val="20"/>
          <w:szCs w:val="20"/>
        </w:rPr>
        <w:t xml:space="preserve">(4) Die Vertraulichkeitspflicht gilt unbefristet über das Vertragsende hinaus.</w:t>
      </w:r>
    </w:p>
    <w:p>
      <w:pPr>
        <w:pStyle w:val="Heading2"/>
        <w:spacing w:after="150" w:before="300"/>
      </w:pPr>
      <w:r>
        <w:rPr>
          <w:rFonts w:ascii="Helvetica" w:cs="Helvetica" w:eastAsia="Helvetica" w:hAnsi="Helvetica"/>
          <w:b/>
          <w:bCs/>
          <w:color w:val="000000"/>
          <w:sz w:val="24"/>
          <w:szCs w:val="24"/>
        </w:rPr>
        <w:t xml:space="preserve">§ 8 Laufzeit und Kündigung</w:t>
      </w:r>
    </w:p>
    <w:p>
      <w:pPr>
        <w:spacing w:after="100"/>
      </w:pPr>
      <w:r>
        <w:rPr>
          <w:rFonts w:ascii="Helvetica" w:cs="Helvetica" w:eastAsia="Helvetica" w:hAnsi="Helvetica"/>
          <w:sz w:val="20"/>
          <w:szCs w:val="20"/>
        </w:rPr>
        <w:t xml:space="preserve">(1) Dieser Vertrag tritt mit Unterzeichnung in Kraft und wird auf unbestimmte Zeit geschlossen.</w:t>
      </w:r>
    </w:p>
    <w:p>
      <w:pPr>
        <w:spacing w:after="100"/>
      </w:pPr>
      <w:r>
        <w:rPr>
          <w:rFonts w:ascii="Helvetica" w:cs="Helvetica" w:eastAsia="Helvetica" w:hAnsi="Helvetica"/>
          <w:sz w:val="20"/>
          <w:szCs w:val="20"/>
        </w:rPr>
        <w:t xml:space="preserve">(2) Der Vertrag kann von jeder Partei mit einer Frist von 3 Monaten zum Monatsende schriftlich gekündigt werden.</w:t>
      </w:r>
    </w:p>
    <w:p>
      <w:pPr>
        <w:spacing w:after="100"/>
      </w:pPr>
      <w:r>
        <w:rPr>
          <w:rFonts w:ascii="Helvetica" w:cs="Helvetica" w:eastAsia="Helvetica" w:hAnsi="Helvetica"/>
          <w:sz w:val="20"/>
          <w:szCs w:val="20"/>
        </w:rPr>
        <w:t xml:space="preserve">(3) Das Recht zur fristlosen Kündigung aus wichtigem Grund bleibt unberührt. Ein wichtiger Grund liegt insbesondere bei Verstoß gegen §§ 5 oder 7 vor.</w:t>
      </w:r>
    </w:p>
    <w:p>
      <w:pPr>
        <w:spacing w:after="100"/>
      </w:pPr>
      <w:r>
        <w:rPr>
          <w:rFonts w:ascii="Helvetica" w:cs="Helvetica" w:eastAsia="Helvetica" w:hAnsi="Helvetica"/>
          <w:sz w:val="20"/>
          <w:szCs w:val="20"/>
        </w:rPr>
        <w:t xml:space="preserve">(4) Die Regelungen der §§ 2, 3, 5, 6 und 7 gelten auch nach Beendigung des Vertrages fort.</w:t>
      </w:r>
    </w:p>
    <w:p>
      <w:pPr>
        <w:spacing w:after="100"/>
      </w:pPr>
      <w:r>
        <w:rPr>
          <w:rFonts w:ascii="Helvetica" w:cs="Helvetica" w:eastAsia="Helvetica" w:hAnsi="Helvetica"/>
          <w:sz w:val="20"/>
          <w:szCs w:val="20"/>
        </w:rPr>
        <w:t xml:space="preserve">(5) Im Falle der Beendigung gelten folgende Übergangsregelungen:</w:t>
      </w:r>
    </w:p>
    <w:p>
      <w:pPr>
        <w:spacing w:after="60"/>
        <w:ind w:left="400"/>
      </w:pPr>
      <w:r>
        <w:rPr>
          <w:rFonts w:ascii="Helvetica" w:cs="Helvetica" w:eastAsia="Helvetica" w:hAnsi="Helvetica"/>
          <w:sz w:val="20"/>
          <w:szCs w:val="20"/>
        </w:rPr>
        <w:t xml:space="preserve">a) Bereits vermittelte Kunden mit laufender Leistungserbringung werden bis zum Abschluss der jeweiligen Leistung weiter betreut. Der Provisionsanspruch bleibt bestehen.</w:t>
      </w:r>
    </w:p>
    <w:p>
      <w:pPr>
        <w:spacing w:after="60"/>
        <w:ind w:left="400"/>
      </w:pPr>
      <w:r>
        <w:rPr>
          <w:rFonts w:ascii="Helvetica" w:cs="Helvetica" w:eastAsia="Helvetica" w:hAnsi="Helvetica"/>
          <w:sz w:val="20"/>
          <w:szCs w:val="20"/>
        </w:rPr>
        <w:t xml:space="preserve">b) Offene Provisionsansprüche sind innerhalb von 30 Tagen nach Vertragsende abzurechnen und zu begleichen.</w:t>
      </w:r>
    </w:p>
    <w:p>
      <w:pPr>
        <w:spacing w:after="60"/>
        <w:ind w:left="400"/>
      </w:pPr>
      <w:r>
        <w:rPr>
          <w:rFonts w:ascii="Helvetica" w:cs="Helvetica" w:eastAsia="Helvetica" w:hAnsi="Helvetica"/>
          <w:sz w:val="20"/>
          <w:szCs w:val="20"/>
        </w:rPr>
        <w:t xml:space="preserve">c) Sämtliche vertrauliche Unterlagen und Kundendaten sind innerhalb von 14 Tagen nach Vertragsende zurückzugeben oder nachweislich zu löschen.</w:t>
      </w:r>
    </w:p>
    <w:p>
      <w:pPr>
        <w:pStyle w:val="Heading2"/>
        <w:spacing w:after="150" w:before="300"/>
      </w:pPr>
      <w:r>
        <w:rPr>
          <w:rFonts w:ascii="Helvetica" w:cs="Helvetica" w:eastAsia="Helvetica" w:hAnsi="Helvetica"/>
          <w:b/>
          <w:bCs/>
          <w:color w:val="000000"/>
          <w:sz w:val="24"/>
          <w:szCs w:val="24"/>
        </w:rPr>
        <w:t xml:space="preserve">§ 9 Haftung</w:t>
      </w:r>
    </w:p>
    <w:p>
      <w:pPr>
        <w:spacing w:after="100"/>
      </w:pPr>
      <w:r>
        <w:rPr>
          <w:rFonts w:ascii="Helvetica" w:cs="Helvetica" w:eastAsia="Helvetica" w:hAnsi="Helvetica"/>
          <w:sz w:val="20"/>
          <w:szCs w:val="20"/>
        </w:rPr>
        <w:t xml:space="preserve">(1) Jede Partei haftet für die ordnungsgemäße Erbringung ihrer jeweiligen Leistungen. Alltagsengel übernimmt keine Haftung für die Leistungen des Kooperationspartners und umgekehrt.</w:t>
      </w:r>
    </w:p>
    <w:p>
      <w:pPr>
        <w:spacing w:after="100"/>
      </w:pPr>
      <w:r>
        <w:rPr>
          <w:rFonts w:ascii="Helvetica" w:cs="Helvetica" w:eastAsia="Helvetica" w:hAnsi="Helvetica"/>
          <w:sz w:val="20"/>
          <w:szCs w:val="20"/>
        </w:rPr>
        <w:t xml:space="preserve">(2) Der Kooperationspartner stellt Alltagsengel von sämtlichen Ansprüchen Dritter frei, die aus der mangelhaften Erbringung seiner Leistungen resultieren.</w:t>
      </w:r>
    </w:p>
    <w:p>
      <w:pPr>
        <w:spacing w:after="100"/>
      </w:pPr>
      <w:r>
        <w:rPr>
          <w:rFonts w:ascii="Helvetica" w:cs="Helvetica" w:eastAsia="Helvetica" w:hAnsi="Helvetica"/>
          <w:sz w:val="20"/>
          <w:szCs w:val="20"/>
        </w:rPr>
        <w:t xml:space="preserve">(3) Die Haftung für mittelbare Schäden und entgangenen Gewinn ist bei leichter Fahrlässigkeit ausgeschlossen, es sei denn, es handelt sich um die Verletzung wesentlicher Vertragspflichten (Kardinalpflichten).</w:t>
      </w:r>
    </w:p>
    <w:p>
      <w:pPr>
        <w:spacing w:after="100"/>
      </w:pPr>
      <w:r>
        <w:rPr>
          <w:rFonts w:ascii="Helvetica" w:cs="Helvetica" w:eastAsia="Helvetica" w:hAnsi="Helvetica"/>
          <w:sz w:val="20"/>
          <w:szCs w:val="20"/>
        </w:rPr>
        <w:t xml:space="preserve">(4) Die Haftung bei leichter Fahrlässigkeit ist auf den vorhersehbaren, vertragstypischen Schaden begrenzt.</w:t>
      </w:r>
    </w:p>
    <w:p>
      <w:pPr>
        <w:pStyle w:val="Heading2"/>
        <w:spacing w:after="150" w:before="300"/>
      </w:pPr>
      <w:r>
        <w:rPr>
          <w:rFonts w:ascii="Helvetica" w:cs="Helvetica" w:eastAsia="Helvetica" w:hAnsi="Helvetica"/>
          <w:b/>
          <w:bCs/>
          <w:color w:val="000000"/>
          <w:sz w:val="24"/>
          <w:szCs w:val="24"/>
        </w:rPr>
        <w:t xml:space="preserve">§ 10 Höhere Gewalt</w:t>
      </w:r>
    </w:p>
    <w:p>
      <w:pPr>
        <w:spacing w:after="100"/>
      </w:pPr>
      <w:r>
        <w:rPr>
          <w:rFonts w:ascii="Helvetica" w:cs="Helvetica" w:eastAsia="Helvetica" w:hAnsi="Helvetica"/>
          <w:sz w:val="20"/>
          <w:szCs w:val="20"/>
        </w:rPr>
        <w:t xml:space="preserve">(1) Keine Partei haftet für die Nichterfüllung oder verzögerte Erfüllung ihrer Pflichten, soweit dies auf höhere Gewalt zurückzuführen ist.</w:t>
      </w:r>
    </w:p>
    <w:p>
      <w:pPr>
        <w:spacing w:after="100"/>
      </w:pPr>
      <w:r>
        <w:rPr>
          <w:rFonts w:ascii="Helvetica" w:cs="Helvetica" w:eastAsia="Helvetica" w:hAnsi="Helvetica"/>
          <w:sz w:val="20"/>
          <w:szCs w:val="20"/>
        </w:rPr>
        <w:t xml:space="preserve">(2) Als höhere Gewalt gelten insbesondere: Naturkatastrophen, Pandemien, behördliche Anordnungen, Krieg, Terrorismus, Streiks, Ausfall wesentlicher IT-Systeme sowie sonstige unvorhersehbare und unabwendbare Ereignisse.</w:t>
      </w:r>
    </w:p>
    <w:p>
      <w:pPr>
        <w:spacing w:after="100"/>
      </w:pPr>
      <w:r>
        <w:rPr>
          <w:rFonts w:ascii="Helvetica" w:cs="Helvetica" w:eastAsia="Helvetica" w:hAnsi="Helvetica"/>
          <w:sz w:val="20"/>
          <w:szCs w:val="20"/>
        </w:rPr>
        <w:t xml:space="preserve">(3) Die betroffene Partei hat die andere Partei unverzüglich über das Vorliegen und die voraussichtliche Dauer der höheren Gewalt zu informieren.</w:t>
      </w:r>
    </w:p>
    <w:p>
      <w:pPr>
        <w:pStyle w:val="Heading2"/>
        <w:spacing w:after="150" w:before="300"/>
      </w:pPr>
      <w:r>
        <w:rPr>
          <w:rFonts w:ascii="Helvetica" w:cs="Helvetica" w:eastAsia="Helvetica" w:hAnsi="Helvetica"/>
          <w:b/>
          <w:bCs/>
          <w:color w:val="000000"/>
          <w:sz w:val="24"/>
          <w:szCs w:val="24"/>
        </w:rPr>
        <w:t xml:space="preserve">§ 11 Schlussbestimmungen</w:t>
      </w:r>
    </w:p>
    <w:p>
      <w:pPr>
        <w:spacing w:after="100"/>
      </w:pPr>
      <w:r>
        <w:rPr>
          <w:rFonts w:ascii="Helvetica" w:cs="Helvetica" w:eastAsia="Helvetica" w:hAnsi="Helvetica"/>
          <w:sz w:val="20"/>
          <w:szCs w:val="20"/>
        </w:rPr>
        <w:t xml:space="preserve">Änderungen und Ergänzungen dieses Vertrages bedürfen der Schriftform. Dies gilt auch für die Aufhebung dieser Schriftformklausel.</w:t>
      </w:r>
    </w:p>
    <w:p>
      <w:pPr>
        <w:spacing w:after="100"/>
      </w:pPr>
      <w:r>
        <w:rPr>
          <w:rFonts w:ascii="Helvetica" w:cs="Helvetica" w:eastAsia="Helvetica" w:hAnsi="Helvetica"/>
          <w:sz w:val="20"/>
          <w:szCs w:val="20"/>
        </w:rPr>
        <w:t xml:space="preserve">Sollte eine Bestimmung unwirksam sein oder werden, so wird die Wirksamkeit der übrigen Bestimmungen hiervon nicht berührt. Die unwirksame Bestimmung ist durch eine wirksame zu ersetzen, die dem wirtschaftlichen Zweck der unwirksamen Bestimmung am nächsten kommt.</w:t>
      </w:r>
    </w:p>
    <w:p>
      <w:pPr>
        <w:spacing w:after="100"/>
      </w:pPr>
      <w:r>
        <w:rPr>
          <w:rFonts w:ascii="Helvetica" w:cs="Helvetica" w:eastAsia="Helvetica" w:hAnsi="Helvetica"/>
          <w:sz w:val="20"/>
          <w:szCs w:val="20"/>
        </w:rPr>
        <w:t xml:space="preserve">Es gilt das Recht der Bundesrepublik Deutschland. Gerichtsstand ist Frankfurt am Main, soweit gesetzlich zulässig.</w:t>
      </w:r>
    </w:p>
    <w:p/>
    <w:p/>
    <w:p>
      <w:pPr>
        <w:pBdr>
          <w:bottom w:val="single" w:color="B8860B" w:sz="3"/>
        </w:pBdr>
      </w:pPr>
    </w:p>
    <w:p/>
    <w:p>
      <w:pPr>
        <w:spacing w:after="100"/>
      </w:pPr>
      <w:r>
        <w:rPr>
          <w:rFonts w:ascii="Helvetica" w:cs="Helvetica" w:eastAsia="Helvetica" w:hAnsi="Helvetica"/>
          <w:sz w:val="20"/>
          <w:szCs w:val="20"/>
        </w:rPr>
        <w:t xml:space="preserve">Frankfurt am Main, den _______________</w:t>
      </w:r>
    </w:p>
    <w:p/>
    <w:p/>
    <w:p>
      <w:r>
        <w:rPr>
          <w:rFonts w:ascii="Helvetica" w:cs="Helvetica" w:eastAsia="Helvetica" w:hAnsi="Helvetica"/>
          <w:sz w:val="20"/>
          <w:szCs w:val="20"/>
        </w:rPr>
        <w:t xml:space="preserve">___________________________________</w:t>
      </w:r>
      <w:r>
        <w:t xml:space="preserve">                    </w:t>
      </w:r>
      <w:r>
        <w:rPr>
          <w:rFonts w:ascii="Helvetica" w:cs="Helvetica" w:eastAsia="Helvetica" w:hAnsi="Helvetica"/>
          <w:sz w:val="20"/>
          <w:szCs w:val="20"/>
        </w:rPr>
        <w:t xml:space="preserve">___________________________________</w:t>
      </w:r>
    </w:p>
    <w:p>
      <w:r>
        <w:rPr>
          <w:rFonts w:ascii="Helvetica" w:cs="Helvetica" w:eastAsia="Helvetica" w:hAnsi="Helvetica"/>
          <w:color w:val="666666"/>
          <w:sz w:val="18"/>
          <w:szCs w:val="18"/>
        </w:rPr>
        <w:t xml:space="preserve">Alltagsengel UG</w:t>
      </w:r>
      <w:r>
        <w:t xml:space="preserve">                                                    </w:t>
      </w:r>
      <w:r>
        <w:rPr>
          <w:rFonts w:ascii="Helvetica" w:cs="Helvetica" w:eastAsia="Helvetica" w:hAnsi="Helvetica"/>
          <w:color w:val="666666"/>
          <w:sz w:val="18"/>
          <w:szCs w:val="18"/>
        </w:rPr>
        <w:t xml:space="preserve">Kooperationspartner</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143f7578445b225f28ff5d3adc1d9a02ebf4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2026-07-17T17:57:10.118Z</dcterms:created>
  <dcterms:modified xsi:type="dcterms:W3CDTF">2026-07-17T17:57:10.118Z</dcterms:modified>
</cp:coreProperties>
</file>

<file path=docProps/custom.xml><?xml version="1.0" encoding="utf-8"?>
<Properties xmlns="http://schemas.openxmlformats.org/officeDocument/2006/custom-properties" xmlns:vt="http://schemas.openxmlformats.org/officeDocument/2006/docPropsVTypes"/>
</file>