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B365D"/>
          <w:sz w:val="32"/>
          <w:szCs w:val="32"/>
        </w:rPr>
        <w:t xml:space="preserve">KONKURRENZANALYSE &amp; RECHTLICHE BEWERTUNG</w:t>
      </w:r>
    </w:p>
    <w:p>
      <w:pPr>
        <w:spacing w:after="100"/>
        <w:jc w:val="center"/>
      </w:pPr>
      <w:r>
        <w:rPr>
          <w:color w:val="1B365D"/>
          <w:sz w:val="26"/>
          <w:szCs w:val="26"/>
        </w:rPr>
        <w:t xml:space="preserve">Alltagsengel UG vs. Alltagsengel Plus</w:t>
      </w:r>
    </w:p>
    <w:p>
      <w:pPr>
        <w:spacing w:after="400"/>
        <w:jc w:val="center"/>
      </w:pPr>
      <w:r>
        <w:rPr>
          <w:i/>
          <w:iCs/>
          <w:color w:val="666666"/>
          <w:sz w:val="20"/>
          <w:szCs w:val="20"/>
        </w:rPr>
        <w:t xml:space="preserve">Stand: 20. Juli 2026 — Vertraulich</w:t>
      </w:r>
    </w:p>
    <w:p>
      <w:pPr>
        <w:pBdr>
          <w:bottom w:val="single" w:color="C8A951" w:sz="6"/>
        </w:pBdr>
        <w:spacing w:after="300"/>
      </w:pPr>
    </w:p>
    <w:p>
      <w:pPr>
        <w:pStyle w:val="Heading1"/>
        <w:spacing w:after="200" w:before="400"/>
      </w:pPr>
      <w:r>
        <w:rPr>
          <w:b/>
          <w:bCs/>
          <w:color w:val="1B365D"/>
          <w:sz w:val="28"/>
          <w:szCs w:val="28"/>
        </w:rPr>
        <w:t xml:space="preserve">1. Konkurrent: Alltagsengel Plus</w:t>
      </w:r>
    </w:p>
    <w:p>
      <w:pPr>
        <w:pStyle w:val="Heading2"/>
        <w:spacing w:after="100" w:before="200"/>
      </w:pPr>
      <w:r>
        <w:rPr>
          <w:b/>
          <w:bCs/>
          <w:color w:val="1B365D"/>
          <w:sz w:val="24"/>
          <w:szCs w:val="24"/>
        </w:rPr>
        <w:t xml:space="preserve">1.1 Impressum &amp; Firmendaten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shd w:fill="F0EDE4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Inhaberin</w:t>
            </w:r>
          </w:p>
        </w:tc>
        <w:tc>
          <w:tcPr>
            <w:tcW w:type="dxa" w:w="6026"/>
          </w:tcPr>
          <w:p>
            <w:r>
              <w:rPr>
                <w:sz w:val="20"/>
                <w:szCs w:val="20"/>
              </w:rPr>
              <w:t xml:space="preserve">Adila Ahmadi</w:t>
            </w:r>
          </w:p>
        </w:tc>
      </w:tr>
      <w:tr>
        <w:tc>
          <w:tcPr>
            <w:tcW w:type="dxa" w:w="3000"/>
            <w:shd w:fill="F0EDE4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Firmenname</w:t>
            </w:r>
          </w:p>
        </w:tc>
        <w:tc>
          <w:tcPr>
            <w:tcW w:type="dxa" w:w="6026"/>
          </w:tcPr>
          <w:p>
            <w:r>
              <w:rPr>
                <w:sz w:val="20"/>
                <w:szCs w:val="20"/>
              </w:rPr>
              <w:t xml:space="preserve">Alltagsengel Plus (kein Rechtsformzusatz = Einzelunternehmen)</w:t>
            </w:r>
          </w:p>
        </w:tc>
      </w:tr>
      <w:tr>
        <w:tc>
          <w:tcPr>
            <w:tcW w:type="dxa" w:w="3000"/>
            <w:shd w:fill="F0EDE4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Adresse</w:t>
            </w:r>
          </w:p>
        </w:tc>
        <w:tc>
          <w:tcPr>
            <w:tcW w:type="dxa" w:w="6026"/>
          </w:tcPr>
          <w:p>
            <w:r>
              <w:rPr>
                <w:sz w:val="20"/>
                <w:szCs w:val="20"/>
              </w:rPr>
              <w:t xml:space="preserve">Kiefernstraße 17, 65933 Frankfurt am Main</w:t>
            </w:r>
          </w:p>
        </w:tc>
      </w:tr>
      <w:tr>
        <w:tc>
          <w:tcPr>
            <w:tcW w:type="dxa" w:w="3000"/>
            <w:shd w:fill="F0EDE4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Telefon</w:t>
            </w:r>
          </w:p>
        </w:tc>
        <w:tc>
          <w:tcPr>
            <w:tcW w:type="dxa" w:w="6026"/>
          </w:tcPr>
          <w:p>
            <w:r>
              <w:rPr>
                <w:sz w:val="20"/>
                <w:szCs w:val="20"/>
              </w:rPr>
              <w:t xml:space="preserve">069 792 705 42 / 0159 047 217 17</w:t>
            </w:r>
          </w:p>
        </w:tc>
      </w:tr>
      <w:tr>
        <w:tc>
          <w:tcPr>
            <w:tcW w:type="dxa" w:w="3000"/>
            <w:shd w:fill="F0EDE4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E-Mail</w:t>
            </w:r>
          </w:p>
        </w:tc>
        <w:tc>
          <w:tcPr>
            <w:tcW w:type="dxa" w:w="6026"/>
          </w:tcPr>
          <w:p>
            <w:r>
              <w:rPr>
                <w:sz w:val="20"/>
                <w:szCs w:val="20"/>
              </w:rPr>
              <w:t xml:space="preserve">info@alltagsengel-plus.de</w:t>
            </w:r>
          </w:p>
        </w:tc>
      </w:tr>
      <w:tr>
        <w:tc>
          <w:tcPr>
            <w:tcW w:type="dxa" w:w="3000"/>
            <w:shd w:fill="F0EDE4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Website</w:t>
            </w:r>
          </w:p>
        </w:tc>
        <w:tc>
          <w:tcPr>
            <w:tcW w:type="dxa" w:w="6026"/>
          </w:tcPr>
          <w:p>
            <w:r>
              <w:rPr>
                <w:sz w:val="20"/>
                <w:szCs w:val="20"/>
              </w:rPr>
              <w:t xml:space="preserve">www.alltagsengel-plus.de</w:t>
            </w:r>
          </w:p>
        </w:tc>
      </w:tr>
      <w:tr>
        <w:tc>
          <w:tcPr>
            <w:tcW w:type="dxa" w:w="3000"/>
            <w:shd w:fill="F0EDE4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Handelsregister</w:t>
            </w:r>
          </w:p>
        </w:tc>
        <w:tc>
          <w:tcPr>
            <w:tcW w:type="dxa" w:w="6026"/>
          </w:tcPr>
          <w:p>
            <w:r>
              <w:rPr>
                <w:sz w:val="20"/>
                <w:szCs w:val="20"/>
              </w:rPr>
              <w:t xml:space="preserve">KEIN EINTRAG — kein HRB, keine USt-ID im Impressum</w:t>
            </w:r>
          </w:p>
        </w:tc>
      </w:tr>
      <w:tr>
        <w:tc>
          <w:tcPr>
            <w:tcW w:type="dxa" w:w="3000"/>
            <w:shd w:fill="F0EDE4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Rechtsform</w:t>
            </w:r>
          </w:p>
        </w:tc>
        <w:tc>
          <w:tcPr>
            <w:tcW w:type="dxa" w:w="6026"/>
          </w:tcPr>
          <w:p>
            <w:r>
              <w:rPr>
                <w:sz w:val="20"/>
                <w:szCs w:val="20"/>
              </w:rPr>
              <w:t xml:space="preserve">Vermutlich Kleingewerbe / Einzelunternehmen</w:t>
            </w:r>
          </w:p>
        </w:tc>
      </w:tr>
      <w:tr>
        <w:tc>
          <w:tcPr>
            <w:tcW w:type="dxa" w:w="3000"/>
            <w:shd w:fill="F0EDE4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Website aktualisiert</w:t>
            </w:r>
          </w:p>
        </w:tc>
        <w:tc>
          <w:tcPr>
            <w:tcW w:type="dxa" w:w="6026"/>
          </w:tcPr>
          <w:p>
            <w:r>
              <w:rPr>
                <w:sz w:val="20"/>
                <w:szCs w:val="20"/>
              </w:rPr>
              <w:t xml:space="preserve">18. April 2026</w:t>
            </w:r>
          </w:p>
        </w:tc>
      </w:tr>
      <w:tr>
        <w:tc>
          <w:tcPr>
            <w:tcW w:type="dxa" w:w="3000"/>
            <w:shd w:fill="F0EDE4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Leistungen</w:t>
            </w:r>
          </w:p>
        </w:tc>
        <w:tc>
          <w:tcPr>
            <w:tcW w:type="dxa" w:w="6026"/>
          </w:tcPr>
          <w:p>
            <w:r>
              <w:rPr>
                <w:sz w:val="20"/>
                <w:szCs w:val="20"/>
              </w:rPr>
              <w:t xml:space="preserve">Alltagsbegleitung §45a SGB XI, Haushaltsnahe DL, Begleitung, Entrümpelung, Garten, Umzug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b/>
          <w:bCs/>
          <w:color w:val="1B365D"/>
          <w:sz w:val="24"/>
          <w:szCs w:val="24"/>
        </w:rPr>
        <w:t xml:space="preserve">1.2 Bewertung</w:t>
      </w:r>
    </w:p>
    <w:p>
      <w:pPr>
        <w:spacing w:after="100"/>
      </w:pPr>
      <w:r>
        <w:rPr>
          <w:sz w:val="20"/>
          <w:szCs w:val="20"/>
        </w:rPr>
        <w:t xml:space="preserve">Adila Ahmadi betreibt ein nicht im Handelsregister eingetragenes Einzelunternehmen unter dem Namen „Alltagsengel Plus“ in Frankfurt-Griesheim (PLZ 65933). Das Unternehmen bietet identische Leistungen wie Alltagsengel UG an: Alltagsbegleitung nach §45a SGB XI, haushaltsnahe Dienstleistungen, Begleitung zu Arztterminen — und das im selben Marktgebiet Frankfurt am Main.</w:t>
      </w:r>
    </w:p>
    <w:p>
      <w:pPr>
        <w:spacing w:after="100"/>
      </w:pPr>
      <w:r>
        <w:rPr>
          <w:sz w:val="20"/>
          <w:szCs w:val="20"/>
        </w:rPr>
        <w:t xml:space="preserve">Auffällig: Im Impressum fehlen Handelsregisternummer, USt-ID und Angaben zur zuständigen Aufsichtsbehörde. Bei Leistungen nach §45a SGB XI ist eine Anerkennung durch das zuständige Landesamt erforderlich — ob diese vorliegt, ist nicht ersichtlich.</w:t>
      </w:r>
    </w:p>
    <w:p>
      <w:pPr>
        <w:pStyle w:val="Heading1"/>
        <w:spacing w:after="200" w:before="400"/>
      </w:pPr>
      <w:r>
        <w:rPr>
          <w:b/>
          <w:bCs/>
          <w:color w:val="1B365D"/>
          <w:sz w:val="28"/>
          <w:szCs w:val="28"/>
        </w:rPr>
        <w:t xml:space="preserve">2. Logo-Vergleich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1B365D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Alltagsengel UG (alltagsengel.care)</w:t>
            </w:r>
          </w:p>
        </w:tc>
        <w:tc>
          <w:tcPr>
            <w:tcW w:type="dxa" w:w="4513"/>
            <w:shd w:fill="1B365D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Alltagsengel Plus (alltagsengel-plus.de)</w:t>
            </w:r>
          </w:p>
        </w:tc>
      </w:tr>
      <w:tr>
        <w:tc>
          <w:tcPr>
            <w:tcW w:type="dxa" w:w="4513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Goldener Engel mit Flügeln und Heiligenschein</w:t>
            </w:r>
          </w:p>
        </w:tc>
        <w:tc>
          <w:tcPr>
            <w:tcW w:type="dxa" w:w="4513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Zwei Hände (gold + blau), die sich entgegenstrecken</w:t>
            </w:r>
          </w:p>
        </w:tc>
      </w:tr>
      <w:tr>
        <w:tc>
          <w:tcPr>
            <w:tcW w:type="dxa" w:w="4513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Farben: Gold auf dunklem Hintergrund</w:t>
            </w:r>
          </w:p>
        </w:tc>
        <w:tc>
          <w:tcPr>
            <w:tcW w:type="dxa" w:w="4513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Farben: Gold + Dunkelblau auf hellem Hintergrund</w:t>
            </w:r>
          </w:p>
        </w:tc>
      </w:tr>
      <w:tr>
        <w:tc>
          <w:tcPr>
            <w:tcW w:type="dxa" w:w="4513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Text: „ALLTAGSENGEL“ in Gold</w:t>
            </w:r>
          </w:p>
        </w:tc>
        <w:tc>
          <w:tcPr>
            <w:tcW w:type="dxa" w:w="4513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Text: „Alltagsengel“ blau, „plus“ in Gold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/>
          <w:bCs/>
          <w:sz w:val="20"/>
          <w:szCs w:val="20"/>
        </w:rPr>
        <w:t xml:space="preserve">Fazit Logo: </w:t>
      </w:r>
      <w:r>
        <w:rPr>
          <w:sz w:val="20"/>
          <w:szCs w:val="20"/>
        </w:rPr>
        <w:t xml:space="preserve">Die Logos sind NICHT identisch, teilen aber dieselbe Farbpalette (Gold/Blau) und das Pflegemotiv. Der Kernname „Alltagsengel“ ist identisch. Die Verwechslungsgefahr liegt primär im Namen, nicht im Bildzeichen.</w:t>
      </w:r>
    </w:p>
    <w:p>
      <w:pPr>
        <w:pStyle w:val="Heading1"/>
        <w:spacing w:after="200" w:before="400"/>
      </w:pPr>
      <w:r>
        <w:rPr>
          <w:b/>
          <w:bCs/>
          <w:color w:val="1B365D"/>
          <w:sz w:val="28"/>
          <w:szCs w:val="28"/>
        </w:rPr>
        <w:t xml:space="preserve">3. DPMA-Markenrecherche (Stand: 20.07.2026)</w:t>
      </w:r>
    </w:p>
    <w:p>
      <w:pPr>
        <w:spacing w:after="100"/>
      </w:pPr>
      <w:r>
        <w:rPr>
          <w:sz w:val="20"/>
          <w:szCs w:val="20"/>
        </w:rPr>
        <w:t xml:space="preserve">Die Recherche im DPMAregister ergab 4 Treffer für „Alltagsengel“: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200"/>
        <w:gridCol w:w="2000"/>
        <w:gridCol w:w="2526"/>
      </w:tblGrid>
      <w:tr>
        <w:tc>
          <w:tcPr>
            <w:tcW w:type="dxa" w:w="500"/>
            <w:shd w:fill="1B365D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Nr</w:t>
            </w:r>
          </w:p>
        </w:tc>
        <w:tc>
          <w:tcPr>
            <w:tcW w:type="dxa" w:w="1800"/>
            <w:shd w:fill="1B365D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Aktenzeichen</w:t>
            </w:r>
          </w:p>
        </w:tc>
        <w:tc>
          <w:tcPr>
            <w:tcW w:type="dxa" w:w="2200"/>
            <w:shd w:fill="1B365D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Marke</w:t>
            </w:r>
          </w:p>
        </w:tc>
        <w:tc>
          <w:tcPr>
            <w:tcW w:type="dxa" w:w="2000"/>
            <w:shd w:fill="1B365D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Inhaber</w:t>
            </w:r>
          </w:p>
        </w:tc>
        <w:tc>
          <w:tcPr>
            <w:tcW w:type="dxa" w:w="2526"/>
            <w:shd w:fill="1B365D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305154362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ALLTAGSENGEL (Wortmarke)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Unbekannt</w:t>
            </w:r>
          </w:p>
        </w:tc>
        <w:tc>
          <w:tcPr>
            <w:tcW w:type="dxa" w:w="2526"/>
          </w:tcPr>
          <w:p>
            <w:r>
              <w:rPr>
                <w:sz w:val="18"/>
                <w:szCs w:val="18"/>
              </w:rPr>
              <w:t xml:space="preserve">Akte vernichtet (erloschen)</w:t>
            </w:r>
          </w:p>
        </w:tc>
      </w:tr>
      <w:tr>
        <w:tc>
          <w:tcPr>
            <w:tcW w:type="dxa" w:w="500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306033976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die Alltags Engel (Bild)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Unbekannt</w:t>
            </w:r>
          </w:p>
        </w:tc>
        <w:tc>
          <w:tcPr>
            <w:tcW w:type="dxa" w:w="2526"/>
          </w:tcPr>
          <w:p>
            <w:r>
              <w:rPr>
                <w:sz w:val="18"/>
                <w:szCs w:val="18"/>
              </w:rPr>
              <w:t xml:space="preserve">Akte vernichtet (erloschen)</w:t>
            </w:r>
          </w:p>
        </w:tc>
      </w:tr>
      <w:tr>
        <w:tc>
          <w:tcPr>
            <w:tcW w:type="dxa" w:w="500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302017103296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Alltags Engel (Bild, bordeaux)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Schumacher, Doreen — Ranstadt</w:t>
            </w:r>
          </w:p>
        </w:tc>
        <w:tc>
          <w:tcPr>
            <w:tcW w:type="dxa" w:w="2526"/>
          </w:tcPr>
          <w:p>
            <w:r>
              <w:rPr>
                <w:sz w:val="18"/>
                <w:szCs w:val="18"/>
              </w:rPr>
              <w:t xml:space="preserve">Eingetragen (seit 2017, Kl. 44/41)</w:t>
            </w:r>
          </w:p>
        </w:tc>
      </w:tr>
      <w:tr>
        <w:tc>
          <w:tcPr>
            <w:tcW w:type="dxa" w:w="500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302025107310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K. Lenard Alltagsengel (Bild)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Lenard, Kerstin — Schemmerhofen</w:t>
            </w:r>
          </w:p>
        </w:tc>
        <w:tc>
          <w:tcPr>
            <w:tcW w:type="dxa" w:w="2526"/>
          </w:tcPr>
          <w:p>
            <w:r>
              <w:rPr>
                <w:sz w:val="18"/>
                <w:szCs w:val="18"/>
              </w:rPr>
              <w:t xml:space="preserve">Eingetragen (seit 2025, Kl. 44)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/>
          <w:bCs/>
          <w:color w:val="CC0000"/>
          <w:sz w:val="20"/>
          <w:szCs w:val="20"/>
        </w:rPr>
        <w:t xml:space="preserve">Zentrales Ergebnis: </w:t>
      </w:r>
      <w:r>
        <w:rPr>
          <w:sz w:val="20"/>
          <w:szCs w:val="20"/>
        </w:rPr>
        <w:t xml:space="preserve">Die reine Wortmarke „ALLTAGSENGEL“ ist derzeit NICHT eingetragen — die alte Registrierung ist erloschen. Weder Alltagsengel UG noch Alltagsengel Plus besitzen eine eingetragene Marke. Die Wortmarke steht zur Anmeldung frei.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Hinweis: </w:t>
      </w:r>
      <w:r>
        <w:rPr>
          <w:sz w:val="20"/>
          <w:szCs w:val="20"/>
        </w:rPr>
        <w:t xml:space="preserve">Die zwei aktiven Eintragungen sind Wort-/Bildmarken von Dritten (Ranstadt, Schemmerhofen). Sie schützen das jeweilige Logo+Wort, nicht den reinen Wortbestandteil. Eine Wortmarke-Anmeldung durch Alltagsengel UG ist möglich.</w:t>
      </w:r>
    </w:p>
    <w:p>
      <w:pPr>
        <w:pStyle w:val="Heading1"/>
        <w:spacing w:after="200" w:before="400"/>
      </w:pPr>
      <w:r>
        <w:rPr>
          <w:b/>
          <w:bCs/>
          <w:color w:val="1B365D"/>
          <w:sz w:val="28"/>
          <w:szCs w:val="28"/>
        </w:rPr>
        <w:t xml:space="preserve">4. Rechtliche Bewertung</w:t>
      </w:r>
    </w:p>
    <w:p>
      <w:pPr>
        <w:pStyle w:val="Heading2"/>
        <w:spacing w:after="100" w:before="200"/>
      </w:pPr>
      <w:r>
        <w:rPr>
          <w:b/>
          <w:bCs/>
          <w:color w:val="1B365D"/>
          <w:sz w:val="24"/>
          <w:szCs w:val="24"/>
        </w:rPr>
        <w:t xml:space="preserve">4.1 Prioritätsrechte (Wer war zuerst?)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E8F0E8" w:color="auto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Alltagsengel UG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Gesellschaftsvertrag: 03.06.2025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HR-Eintragung: 07.10.2025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HRB 140351, AG Frankfurt am Main</w:t>
            </w:r>
          </w:p>
        </w:tc>
        <w:tc>
          <w:tcPr>
            <w:tcW w:type="dxa" w:w="4513"/>
            <w:shd w:fill="F0E8E8" w:color="auto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Alltagsengel Plus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Website-Update: 18.04.2026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Kein Handelsregistereintrag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Gründungsdatum unklar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/>
          <w:bCs/>
          <w:sz w:val="20"/>
          <w:szCs w:val="20"/>
        </w:rPr>
        <w:t xml:space="preserve">Ergebnis: </w:t>
      </w:r>
      <w:r>
        <w:rPr>
          <w:sz w:val="20"/>
          <w:szCs w:val="20"/>
        </w:rPr>
        <w:t xml:space="preserve">Alltagsengel UG hat die älteren Rechte. HR-Eintragung (07.10.2025) liegt vor dem frühesten sichtbaren Aktivitätsdatum von Alltagsengel Plus. Durch die HR-Eintragung genießt Alltagsengel UG bundesweiten Firmennamenenschutz nach §§5, 15 MarkenG und §37 Abs. 2 HGB.</w:t>
      </w:r>
    </w:p>
    <w:p>
      <w:pPr>
        <w:pStyle w:val="Heading2"/>
        <w:spacing w:after="100" w:before="200"/>
      </w:pPr>
      <w:r>
        <w:rPr>
          <w:b/>
          <w:bCs/>
          <w:color w:val="1B365D"/>
          <w:sz w:val="24"/>
          <w:szCs w:val="24"/>
        </w:rPr>
        <w:t xml:space="preserve">4.2 Verwechslungsgefahr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Zeichenähnlichkeit: </w:t>
      </w:r>
      <w:r>
        <w:rPr>
          <w:sz w:val="20"/>
          <w:szCs w:val="20"/>
        </w:rPr>
        <w:t xml:space="preserve">„Alltagsengel“ vs. „Alltagsengel Plus“ — der dominante Bestandteil ist identisch. Der Zusatz „Plus“ ist rein beschreibend und reicht nicht, um Verwechslungsgefahr auszuschließen.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Branchenidentität: </w:t>
      </w:r>
      <w:r>
        <w:rPr>
          <w:sz w:val="20"/>
          <w:szCs w:val="20"/>
        </w:rPr>
        <w:t xml:space="preserve">Beide bieten Alltagsbegleitung nach §45a SGB XI an — die Branche ist identisch.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Räumliche Überschneidung: </w:t>
      </w:r>
      <w:r>
        <w:rPr>
          <w:sz w:val="20"/>
          <w:szCs w:val="20"/>
        </w:rPr>
        <w:t xml:space="preserve">Beide in Frankfurt am Main. Identischer Name + identische Branche + identische Stadt = stärkster Fall.</w:t>
      </w:r>
    </w:p>
    <w:p>
      <w:pPr>
        <w:pStyle w:val="Heading2"/>
        <w:spacing w:after="100" w:before="200"/>
      </w:pPr>
      <w:r>
        <w:rPr>
          <w:b/>
          <w:bCs/>
          <w:color w:val="1B365D"/>
          <w:sz w:val="24"/>
          <w:szCs w:val="24"/>
        </w:rPr>
        <w:t xml:space="preserve">4.3 Rechtsgrundlagen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§5 Abs. 2 MarkenG: </w:t>
      </w:r>
      <w:r>
        <w:rPr>
          <w:sz w:val="20"/>
          <w:szCs w:val="20"/>
        </w:rPr>
        <w:t xml:space="preserve">Unternehmenskennzeichen-Schutz durch Benutzung — auch ohne Markeneintragung. Entsteht mit HR-Eintragung.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§15 MarkenG: </w:t>
      </w:r>
      <w:r>
        <w:rPr>
          <w:sz w:val="20"/>
          <w:szCs w:val="20"/>
        </w:rPr>
        <w:t xml:space="preserve">Unterlassungs- und Schadensersatzanspruch bei Verwechslungsgefahr.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§12 BGB: </w:t>
      </w:r>
      <w:r>
        <w:rPr>
          <w:sz w:val="20"/>
          <w:szCs w:val="20"/>
        </w:rPr>
        <w:t xml:space="preserve">Allgemeines Namensrecht — Beseitigung und Unterlassung bei unbefugter Namensverwendung.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§37 Abs. 2 HGB: </w:t>
      </w:r>
      <w:r>
        <w:rPr>
          <w:sz w:val="20"/>
          <w:szCs w:val="20"/>
        </w:rPr>
        <w:t xml:space="preserve">HR-eingetragene Firma hat Vorrang.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§§3, 5 UWG: </w:t>
      </w:r>
      <w:r>
        <w:rPr>
          <w:sz w:val="20"/>
          <w:szCs w:val="20"/>
        </w:rPr>
        <w:t xml:space="preserve">Irreführung durch Verwechslungsgefahr als unlautere geschäftliche Handlung.</w:t>
      </w:r>
    </w:p>
    <w:p>
      <w:pPr>
        <w:pStyle w:val="Heading1"/>
        <w:spacing w:after="200" w:before="400"/>
      </w:pPr>
      <w:r>
        <w:rPr>
          <w:b/>
          <w:bCs/>
          <w:color w:val="1B365D"/>
          <w:sz w:val="28"/>
          <w:szCs w:val="28"/>
        </w:rPr>
        <w:t xml:space="preserve">5. Kosten DPMA-Markenanmeldung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6"/>
      </w:tblGrid>
      <w:tr>
        <w:tc>
          <w:tcPr>
            <w:tcW w:type="dxa" w:w="5500"/>
            <w:shd w:fill="1B365D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3526"/>
            <w:shd w:fill="1B365D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Kosten</w:t>
            </w:r>
          </w:p>
        </w:tc>
      </w:tr>
      <w:tr>
        <w:tc>
          <w:tcPr>
            <w:tcW w:type="dxa" w:w="550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DPMA-Anmeldegebühr (elektronisch, bis 3 Klassen)</w:t>
            </w:r>
          </w:p>
        </w:tc>
        <w:tc>
          <w:tcPr>
            <w:tcW w:type="dxa" w:w="3526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290 €</w:t>
            </w:r>
          </w:p>
        </w:tc>
      </w:tr>
      <w:tr>
        <w:tc>
          <w:tcPr>
            <w:tcW w:type="dxa" w:w="550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Jede weitere Nizza-Klasse</w:t>
            </w:r>
          </w:p>
        </w:tc>
        <w:tc>
          <w:tcPr>
            <w:tcW w:type="dxa" w:w="3526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+ 100 € pro Klasse</w:t>
            </w:r>
          </w:p>
        </w:tc>
      </w:tr>
      <w:tr>
        <w:tc>
          <w:tcPr>
            <w:tcW w:type="dxa" w:w="550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Beschleunigtes Verfahren (optional)</w:t>
            </w:r>
          </w:p>
        </w:tc>
        <w:tc>
          <w:tcPr>
            <w:tcW w:type="dxa" w:w="3526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+ 200 €</w:t>
            </w:r>
          </w:p>
        </w:tc>
      </w:tr>
      <w:tr>
        <w:tc>
          <w:tcPr>
            <w:tcW w:type="dxa" w:w="550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Schutzdauer</w:t>
            </w:r>
          </w:p>
        </w:tc>
        <w:tc>
          <w:tcPr>
            <w:tcW w:type="dxa" w:w="3526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10 Jahre (Verlängerung: 750 €)</w:t>
            </w:r>
          </w:p>
        </w:tc>
      </w:tr>
      <w:tr>
        <w:tc>
          <w:tcPr>
            <w:tcW w:type="dxa" w:w="550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Anwaltliche Begleitung (empfohlen)</w:t>
            </w:r>
          </w:p>
        </w:tc>
        <w:tc>
          <w:tcPr>
            <w:tcW w:type="dxa" w:w="3526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500–1.500 € netto</w:t>
            </w:r>
          </w:p>
        </w:tc>
      </w:tr>
      <w:tr>
        <w:tc>
          <w:tcPr>
            <w:tcW w:type="dxa" w:w="550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Eigene Anmeldung ohne Anwalt</w:t>
            </w:r>
          </w:p>
        </w:tc>
        <w:tc>
          <w:tcPr>
            <w:tcW w:type="dxa" w:w="3526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Nur DPMA-Gebühr: 290 €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B365D"/>
          <w:sz w:val="28"/>
          <w:szCs w:val="28"/>
        </w:rPr>
        <w:t xml:space="preserve">6. Konkrete Handlungsempfehlungen</w:t>
      </w:r>
    </w:p>
    <w:p>
      <w:pPr>
        <w:shd w:fill="FFF3E0" w:color="auto" w:val="clear"/>
        <w:spacing w:after="100"/>
      </w:pPr>
      <w:r>
        <w:rPr>
          <w:b/>
          <w:bCs/>
          <w:color w:val="E65100"/>
          <w:sz w:val="22"/>
          <w:szCs w:val="22"/>
        </w:rPr>
        <w:t xml:space="preserve">SOFORT (diese Woche)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1. Beweissicherung: </w:t>
      </w:r>
      <w:r>
        <w:rPr>
          <w:sz w:val="20"/>
          <w:szCs w:val="20"/>
        </w:rPr>
        <w:t xml:space="preserve">Screenshots der gesamten Website alltagsengel-plus.de (inkl. Impressum, Leistungen, Logo) mit Datum sichern. Archive.org-Link sichern. Das ist die Basis für jede spätere rechtliche Auseinandersetzung.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2. Eigene Marke anmelden: </w:t>
      </w:r>
      <w:r>
        <w:rPr>
          <w:sz w:val="20"/>
          <w:szCs w:val="20"/>
        </w:rPr>
        <w:t xml:space="preserve">Wortmarke „ALLTAGSENGEL“ beim DPMA online anmelden (direkt.dpma.de). Kosten: 290 € für bis zu 3 Nizza-Klassen. Empfohlene Klassen: 44 (Gesundheits-/Pflegedienstleistungen), 45 (persönliche/soziale DL). Selbst machbar.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3. Impressum-Prüfung melden: </w:t>
      </w:r>
      <w:r>
        <w:rPr>
          <w:sz w:val="20"/>
          <w:szCs w:val="20"/>
        </w:rPr>
        <w:t xml:space="preserve">Das Impressum von Alltagsengel Plus ist unvollständig (fehlende USt-ID, keine Aufsichtsbehörde). Hinweis an IHK Frankfurt oder Gewerbeaufsichtsamt — kostenlos.</w:t>
      </w:r>
    </w:p>
    <w:p>
      <w:pPr>
        <w:shd w:fill="E8F5E9" w:color="auto" w:val="clear"/>
        <w:spacing w:after="100"/>
      </w:pPr>
      <w:r>
        <w:rPr>
          <w:b/>
          <w:bCs/>
          <w:color w:val="2E7D32"/>
          <w:sz w:val="22"/>
          <w:szCs w:val="22"/>
        </w:rPr>
        <w:t xml:space="preserve">KURZFRISTIG (1–2 Wochen)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4. Eigenabmahnung schreiben: </w:t>
      </w:r>
      <w:r>
        <w:rPr>
          <w:sz w:val="20"/>
          <w:szCs w:val="20"/>
        </w:rPr>
        <w:t xml:space="preserve">Ohne Anwalt möglich. Muss enthalten: Darstellung des eigenen älteren Rechts (HRB 140351, 07.10.2025), Verwechslungsgefahr, Aufforderung zur Unterlassung und Umfirmierung, Frist (14 Tage), strafbewehrte Unterlassungserklärung.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5. §45a-Anerkennung prüfen: </w:t>
      </w:r>
      <w:r>
        <w:rPr>
          <w:sz w:val="20"/>
          <w:szCs w:val="20"/>
        </w:rPr>
        <w:t xml:space="preserve">Beim Hessischen Amt für Versorgung und Soziales (HAVS) anfragen, ob Alltagsengel Plus als Anbieter nach §45a SGB XI anerkannt ist. Falls nicht: massiver Hebel.</w:t>
      </w:r>
    </w:p>
    <w:p>
      <w:pPr>
        <w:shd w:fill="E3F2FD" w:color="auto" w:val="clear"/>
        <w:spacing w:after="100"/>
      </w:pPr>
      <w:r>
        <w:rPr>
          <w:b/>
          <w:bCs/>
          <w:color w:val="1565C0"/>
          <w:sz w:val="22"/>
          <w:szCs w:val="22"/>
        </w:rPr>
        <w:t xml:space="preserve">MITTELFRISTIG (1–2 Monate)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6. Anwaltliche Abmahnung: </w:t>
      </w:r>
      <w:r>
        <w:rPr>
          <w:sz w:val="20"/>
          <w:szCs w:val="20"/>
        </w:rPr>
        <w:t xml:space="preserve">Falls Eigenabmahnung ignoriert wird. Kosten: ca. 1.500–2.500 €, die bei berechtigter Abmahnung vom Gegner zu tragen sind. Erstberatung bei IHK Frankfurt kostenlos.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7. Einstweilige Verfügung: </w:t>
      </w:r>
      <w:r>
        <w:rPr>
          <w:sz w:val="20"/>
          <w:szCs w:val="20"/>
        </w:rPr>
        <w:t xml:space="preserve">Beim LG Frankfurt beantragen, falls Abmahnung nicht fruchtet. Untersagt sofort die weitere Namensnutzung. Dringlichkeitsfrist: ca. 4–6 Wochen nach Kenntnisnahme.</w:t>
      </w:r>
    </w:p>
    <w:p>
      <w:pPr>
        <w:pBdr>
          <w:bottom w:val="single" w:color="C8A951" w:sz="6"/>
        </w:pBdr>
        <w:spacing w:before="300"/>
      </w:pPr>
    </w:p>
    <w:p>
      <w:pPr>
        <w:shd w:fill="FFFDE7" w:color="auto" w:val="clear"/>
        <w:spacing w:after="100"/>
      </w:pPr>
      <w:r>
        <w:rPr>
          <w:b/>
          <w:bCs/>
          <w:color w:val="1B365D"/>
          <w:sz w:val="22"/>
          <w:szCs w:val="22"/>
        </w:rPr>
        <w:t xml:space="preserve">ZUSAMMENFASSUNG: </w:t>
      </w:r>
      <w:r>
        <w:rPr>
          <w:sz w:val="20"/>
          <w:szCs w:val="20"/>
        </w:rPr>
        <w:t xml:space="preserve">Die Rechtslage ist klar zugunsten von Alltagsengel UG. Ältere HR-Eintragung + identischer Kernname + identische Branche + gleiche Stadt = starker Unterlassungsanspruch. Wichtigster Schritt JETZT: DPMA-Wortmarke für 290 € sichern.</w:t>
      </w:r>
    </w:p>
    <w:p>
      <w:pPr>
        <w:spacing w:after="100"/>
      </w:pPr>
      <w:r>
        <w:rPr>
          <w:i/>
          <w:iCs/>
          <w:color w:val="999999"/>
          <w:sz w:val="18"/>
          <w:szCs w:val="18"/>
        </w:rPr>
        <w:t xml:space="preserve">Erstellt von: Alltagsengel — Interne Analyse</w:t>
      </w:r>
    </w:p>
    <w:p>
      <w:pPr>
        <w:spacing w:after="100"/>
      </w:pPr>
      <w:r>
        <w:rPr>
          <w:i/>
          <w:iCs/>
          <w:color w:val="999999"/>
          <w:sz w:val="18"/>
          <w:szCs w:val="18"/>
        </w:rPr>
        <w:t xml:space="preserve">Hinweis: Diese Analyse ersetzt keine anwaltliche Beratung. Für Abmahnung und gerichtliche Schritte wird ein Fachanwalt für gewerblichen Rechtsschutz empfohlen.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2026-07-20T18:49:14.001Z</dcterms:created>
  <dcterms:modified xsi:type="dcterms:W3CDTF">2026-07-20T18:49:14.005Z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