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D4A843"/>
          <w:sz w:val="36"/>
          <w:szCs w:val="36"/>
        </w:rPr>
        <w:t xml:space="preserve">ALLTAGSENGEL UG</w:t>
      </w:r>
    </w:p>
    <w:p>
      <w:pPr>
        <w:pBdr>
          <w:top w:val="single" w:color="D4A843" w:sz="3"/>
          <w:bottom w:val="single" w:color="D4A843" w:sz="3"/>
        </w:pBdr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2C2C2C"/>
          <w:sz w:val="40"/>
          <w:szCs w:val="40"/>
        </w:rPr>
        <w:t xml:space="preserve">Kostenkalkulation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Stundensatzkalkulation für Angebote zur Unterstützung im Alltag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gemäß § 45a SGB XI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Stand: Juli 2026</w:t>
      </w:r>
    </w:p>
    <w:p>
      <w:pPr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Alltagsengel UG (haftungsbeschränkt)</w:t>
      </w:r>
    </w:p>
    <w:p>
      <w:pPr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IK-Nummer: 460629986</w:t>
      </w:r>
    </w:p>
    <w:p>
      <w:r>
        <w:br w:type="page"/>
      </w:r>
    </w:p>
    <w:p>
      <w:pPr>
        <w:pStyle w:val="Heading1"/>
        <w:pBdr>
          <w:bottom w:val="single" w:color="D4A843" w:sz="2"/>
        </w:pBdr>
        <w:spacing w:after="200" w:before="400"/>
      </w:pPr>
      <w:r>
        <w:rPr>
          <w:rFonts w:ascii="Calibri" w:cs="Calibri" w:eastAsia="Calibri" w:hAnsi="Calibri"/>
          <w:b/>
          <w:bCs/>
          <w:color w:val="2C2C2C"/>
          <w:sz w:val="28"/>
          <w:szCs w:val="28"/>
        </w:rPr>
        <w:t xml:space="preserve">1. Preisobergrenzen nach Bundesland</w:t>
      </w:r>
    </w:p>
    <w:p>
      <w:pPr>
        <w:spacing w:after="120" w:line="276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Die maximal zulässigen Stundensätze variieren je nach Bundesland. Die folgenden Obergrenzen gelten inklusive aller Nebenkosten (Fahrtkosten, Verwaltung etc.):</w:t>
      </w:r>
    </w:p>
    <w:p>
      <w:pPr>
        <w:spacing w:after="2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400"/>
      </w:tblGrid>
      <w:tr>
        <w:tc>
          <w:tcPr>
            <w:tcW w:type="dxa" w:w="3200"/>
            <w:shd w:fill="D4A843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Bundesland</w:t>
            </w:r>
          </w:p>
        </w:tc>
        <w:tc>
          <w:tcPr>
            <w:tcW w:type="dxa" w:w="2600"/>
            <w:shd w:fill="D4A843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Max. Stundensatz</w:t>
            </w:r>
          </w:p>
        </w:tc>
        <w:tc>
          <w:tcPr>
            <w:tcW w:type="dxa" w:w="3400"/>
            <w:shd w:fill="D4A843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Anmerkung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Sachsen</w:t>
            </w:r>
          </w:p>
        </w:tc>
        <w:tc>
          <w:tcPr>
            <w:tcW w:type="dxa" w:w="2600"/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34,00 €</w:t>
            </w:r>
          </w:p>
        </w:tc>
        <w:tc>
          <w:tcPr>
            <w:tcW w:type="dxa" w:w="34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inkl. Fahrtkosten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Thüringen</w:t>
            </w:r>
          </w:p>
        </w:tc>
        <w:tc>
          <w:tcPr>
            <w:tcW w:type="dxa" w:w="2600"/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34,00 €</w:t>
            </w:r>
          </w:p>
        </w:tc>
        <w:tc>
          <w:tcPr>
            <w:tcW w:type="dxa" w:w="34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inkl. Fahrtkosten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Berlin</w:t>
            </w:r>
          </w:p>
        </w:tc>
        <w:tc>
          <w:tcPr>
            <w:tcW w:type="dxa" w:w="2600"/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35,50 €</w:t>
            </w:r>
          </w:p>
        </w:tc>
        <w:tc>
          <w:tcPr>
            <w:tcW w:type="dxa" w:w="34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alles inklusive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Schleswig-Holstein (Haushalt)</w:t>
            </w:r>
          </w:p>
        </w:tc>
        <w:tc>
          <w:tcPr>
            <w:tcW w:type="dxa" w:w="2600"/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37,37 €</w:t>
            </w:r>
          </w:p>
        </w:tc>
        <w:tc>
          <w:tcPr>
            <w:tcW w:type="dxa" w:w="34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haushaltsnahe DL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Schleswig-Holstein (Betreuung)</w:t>
            </w:r>
          </w:p>
        </w:tc>
        <w:tc>
          <w:tcPr>
            <w:tcW w:type="dxa" w:w="2600"/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36,60 €</w:t>
            </w:r>
          </w:p>
        </w:tc>
        <w:tc>
          <w:tcPr>
            <w:tcW w:type="dxa" w:w="34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andere Angebotstypen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Niedersachsen</w:t>
            </w:r>
          </w:p>
        </w:tc>
        <w:tc>
          <w:tcPr>
            <w:tcW w:type="dxa" w:w="26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nach Vereinbarung</w:t>
            </w:r>
          </w:p>
        </w:tc>
        <w:tc>
          <w:tcPr>
            <w:tcW w:type="dxa" w:w="34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kein fester Höchstsatz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Bayern</w:t>
            </w:r>
          </w:p>
        </w:tc>
        <w:tc>
          <w:tcPr>
            <w:tcW w:type="dxa" w:w="26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nach Vereinbarung</w:t>
            </w:r>
          </w:p>
        </w:tc>
        <w:tc>
          <w:tcPr>
            <w:tcW w:type="dxa" w:w="34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regional unterschiedlich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Hessen</w:t>
            </w:r>
          </w:p>
        </w:tc>
        <w:tc>
          <w:tcPr>
            <w:tcW w:type="dxa" w:w="26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noch offen</w:t>
            </w:r>
          </w:p>
        </w:tc>
        <w:tc>
          <w:tcPr>
            <w:tcW w:type="dxa" w:w="34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Antwort ausstehend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Baden-Württemberg</w:t>
            </w:r>
          </w:p>
        </w:tc>
        <w:tc>
          <w:tcPr>
            <w:tcW w:type="dxa" w:w="26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nach Vereinbarung</w:t>
            </w:r>
          </w:p>
        </w:tc>
        <w:tc>
          <w:tcPr>
            <w:tcW w:type="dxa" w:w="34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je nach Landkreis</w:t>
            </w:r>
          </w:p>
        </w:tc>
      </w:tr>
    </w:tbl>
    <w:p>
      <w:pPr>
        <w:spacing w:after="400"/>
      </w:pPr>
    </w:p>
    <w:p>
      <w:pPr>
        <w:pStyle w:val="Heading1"/>
        <w:pBdr>
          <w:bottom w:val="single" w:color="D4A843" w:sz="2"/>
        </w:pBdr>
        <w:spacing w:after="200" w:before="400"/>
      </w:pPr>
      <w:r>
        <w:rPr>
          <w:rFonts w:ascii="Calibri" w:cs="Calibri" w:eastAsia="Calibri" w:hAnsi="Calibri"/>
          <w:b/>
          <w:bCs/>
          <w:color w:val="2C2C2C"/>
          <w:sz w:val="28"/>
          <w:szCs w:val="28"/>
        </w:rPr>
        <w:t xml:space="preserve">2. Stundensatzkalkulation Alltagsengel</w:t>
      </w:r>
    </w:p>
    <w:p>
      <w:pPr>
        <w:spacing w:after="120" w:line="276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Unser einheitlicher Stundensatz orientiert sich am niedrigsten Höchstsatz (34,00 €/h), um in allen Bundesländern einsetzbar zu sein. Nachfolgend die Aufschlüsselung: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C2C2C"/>
          <w:sz w:val="24"/>
          <w:szCs w:val="24"/>
        </w:rPr>
        <w:t xml:space="preserve">2.1 Personalkosten je Einsatzstunde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00"/>
        <w:gridCol w:w="2600"/>
      </w:tblGrid>
      <w:tr>
        <w:tc>
          <w:tcPr>
            <w:tcW w:type="dxa" w:w="4200"/>
            <w:shd w:fill="D4A843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2400"/>
            <w:shd w:fill="D4A843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Betrag/Stunde</w:t>
            </w:r>
          </w:p>
        </w:tc>
        <w:tc>
          <w:tcPr>
            <w:tcW w:type="dxa" w:w="2600"/>
            <w:shd w:fill="D4A843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Anteil</w:t>
            </w:r>
          </w:p>
        </w:tc>
      </w:tr>
      <w:tr>
        <w:tc>
          <w:tcPr>
            <w:tcW w:type="dxa" w:w="4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Vergütung Alltagsbegleiter (brutto)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16,00 €</w:t>
            </w:r>
          </w:p>
        </w:tc>
        <w:tc>
          <w:tcPr>
            <w:tcW w:type="dxa" w:w="26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47,1 %</w:t>
            </w:r>
          </w:p>
        </w:tc>
      </w:tr>
      <w:tr>
        <w:tc>
          <w:tcPr>
            <w:tcW w:type="dxa" w:w="4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Arbeitgeberanteile SV (~20 %)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3,20 €</w:t>
            </w:r>
          </w:p>
        </w:tc>
        <w:tc>
          <w:tcPr>
            <w:tcW w:type="dxa" w:w="26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9,4 %</w:t>
            </w:r>
          </w:p>
        </w:tc>
      </w:tr>
      <w:tr>
        <w:tc>
          <w:tcPr>
            <w:tcW w:type="dxa" w:w="4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Fachkraftanteil (anteilig pro Einsatzstunde)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3,50 €</w:t>
            </w:r>
          </w:p>
        </w:tc>
        <w:tc>
          <w:tcPr>
            <w:tcW w:type="dxa" w:w="26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10,3 %</w:t>
            </w:r>
          </w:p>
        </w:tc>
      </w:tr>
      <w:tr>
        <w:tc>
          <w:tcPr>
            <w:tcW w:type="dxa" w:w="4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Schulung/Fortbildung (umgelegt)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1,00 €</w:t>
            </w:r>
          </w:p>
        </w:tc>
        <w:tc>
          <w:tcPr>
            <w:tcW w:type="dxa" w:w="26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2,9 %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C2C2C"/>
          <w:sz w:val="24"/>
          <w:szCs w:val="24"/>
        </w:rPr>
        <w:t xml:space="preserve">2.2 Sachkosten je Einsatzstunde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00"/>
        <w:gridCol w:w="2600"/>
      </w:tblGrid>
      <w:tr>
        <w:tc>
          <w:tcPr>
            <w:tcW w:type="dxa" w:w="4200"/>
            <w:shd w:fill="D4A843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2400"/>
            <w:shd w:fill="D4A843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Betrag/Stunde</w:t>
            </w:r>
          </w:p>
        </w:tc>
        <w:tc>
          <w:tcPr>
            <w:tcW w:type="dxa" w:w="2600"/>
            <w:shd w:fill="D4A843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Anteil</w:t>
            </w:r>
          </w:p>
        </w:tc>
      </w:tr>
      <w:tr>
        <w:tc>
          <w:tcPr>
            <w:tcW w:type="dxa" w:w="4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Fahrtkosten (Pauschale)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2,50 €</w:t>
            </w:r>
          </w:p>
        </w:tc>
        <w:tc>
          <w:tcPr>
            <w:tcW w:type="dxa" w:w="26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7,4 %</w:t>
            </w:r>
          </w:p>
        </w:tc>
      </w:tr>
      <w:tr>
        <w:tc>
          <w:tcPr>
            <w:tcW w:type="dxa" w:w="4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Versicherungen (Haftpflicht + BG)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0,80 €</w:t>
            </w:r>
          </w:p>
        </w:tc>
        <w:tc>
          <w:tcPr>
            <w:tcW w:type="dxa" w:w="26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2,4 %</w:t>
            </w:r>
          </w:p>
        </w:tc>
      </w:tr>
      <w:tr>
        <w:tc>
          <w:tcPr>
            <w:tcW w:type="dxa" w:w="4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Verwaltung/Büro/IT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2,00 €</w:t>
            </w:r>
          </w:p>
        </w:tc>
        <w:tc>
          <w:tcPr>
            <w:tcW w:type="dxa" w:w="26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5,9 %</w:t>
            </w:r>
          </w:p>
        </w:tc>
      </w:tr>
      <w:tr>
        <w:tc>
          <w:tcPr>
            <w:tcW w:type="dxa" w:w="4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Material/Beschäftigungsmittel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0,50 €</w:t>
            </w:r>
          </w:p>
        </w:tc>
        <w:tc>
          <w:tcPr>
            <w:tcW w:type="dxa" w:w="26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1,5 %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C2C2C"/>
          <w:sz w:val="24"/>
          <w:szCs w:val="24"/>
        </w:rPr>
        <w:t xml:space="preserve">2.3 Zusammenfassung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00"/>
        <w:gridCol w:w="2600"/>
      </w:tblGrid>
      <w:tr>
        <w:tc>
          <w:tcPr>
            <w:tcW w:type="dxa" w:w="4200"/>
            <w:shd w:fill="D4A843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Kategorie</w:t>
            </w:r>
          </w:p>
        </w:tc>
        <w:tc>
          <w:tcPr>
            <w:tcW w:type="dxa" w:w="2400"/>
            <w:shd w:fill="D4A843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Betrag/Stunde</w:t>
            </w:r>
          </w:p>
        </w:tc>
        <w:tc>
          <w:tcPr>
            <w:tcW w:type="dxa" w:w="2600"/>
            <w:shd w:fill="D4A843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Anteil</w:t>
            </w:r>
          </w:p>
        </w:tc>
      </w:tr>
      <w:tr>
        <w:tc>
          <w:tcPr>
            <w:tcW w:type="dxa" w:w="4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Personalkosten gesamt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23,70 €</w:t>
            </w:r>
          </w:p>
        </w:tc>
        <w:tc>
          <w:tcPr>
            <w:tcW w:type="dxa" w:w="26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69,7 %</w:t>
            </w:r>
          </w:p>
        </w:tc>
      </w:tr>
      <w:tr>
        <w:tc>
          <w:tcPr>
            <w:tcW w:type="dxa" w:w="4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Sachkosten gesamt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5,80 €</w:t>
            </w:r>
          </w:p>
        </w:tc>
        <w:tc>
          <w:tcPr>
            <w:tcW w:type="dxa" w:w="26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17,1 %</w:t>
            </w:r>
          </w:p>
        </w:tc>
      </w:tr>
      <w:tr>
        <w:tc>
          <w:tcPr>
            <w:tcW w:type="dxa" w:w="4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Unternehmergewinn / Rücklage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4,50 €</w:t>
            </w:r>
          </w:p>
        </w:tc>
        <w:tc>
          <w:tcPr>
            <w:tcW w:type="dxa" w:w="26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13,2 %</w:t>
            </w:r>
          </w:p>
        </w:tc>
      </w:tr>
      <w:tr>
        <w:tc>
          <w:tcPr>
            <w:tcW w:type="dxa" w:w="4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Stundensatz gesamt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34,00 €</w:t>
            </w:r>
          </w:p>
        </w:tc>
        <w:tc>
          <w:tcPr>
            <w:tcW w:type="dxa" w:w="26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100 %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D4A843" w:sz="2"/>
        </w:pBdr>
        <w:spacing w:after="200" w:before="400"/>
      </w:pPr>
      <w:r>
        <w:rPr>
          <w:rFonts w:ascii="Calibri" w:cs="Calibri" w:eastAsia="Calibri" w:hAnsi="Calibri"/>
          <w:b/>
          <w:bCs/>
          <w:color w:val="2C2C2C"/>
          <w:sz w:val="28"/>
          <w:szCs w:val="28"/>
        </w:rPr>
        <w:t xml:space="preserve">3. Abrechnungshinweise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C2C2C"/>
          <w:sz w:val="24"/>
          <w:szCs w:val="24"/>
        </w:rPr>
        <w:t xml:space="preserve">3.1 Entlastungsbetrag (§ 45b SGB XI)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D4A84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131,00 € monatlich pro pflegebedürftige Person (ab Pflegegrad 1)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D4A84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Nicht verbrauchte Beträge können ins Folgejahr übertragen werden (bis 30. Juni)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D4A84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Abrechnung direkt mit der Pflegekasse über IK-Nummer 460629986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C2C2C"/>
          <w:sz w:val="24"/>
          <w:szCs w:val="24"/>
        </w:rPr>
        <w:t xml:space="preserve">3.2 Verhinderungspflege (§ 39 SGB XI)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D4A84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Bis zu 1.612 € jährlich (ab Pflegegrad 2)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D4A84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Zusätzlich 50 % des Kurzzeitpflegebudgets nutzbar (bis zu 806 €)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D4A84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Stundenweise Abrechnung möglich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C2C2C"/>
          <w:sz w:val="24"/>
          <w:szCs w:val="24"/>
        </w:rPr>
        <w:t xml:space="preserve">3.3 Mindestbuchung und Abrechnung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D4A84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Mindesteinsatzzeit: 1 Stunde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D4A84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Abrechnung in 15-Minuten-Schritten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D4A84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Fahrtkosten sind im Stundensatz enthalten (keine separate Berechnung)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D4A84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Rechnungsstellung monatlich an die zuständige Pflegekasse</w:t>
      </w:r>
    </w:p>
    <w:p>
      <w:pPr>
        <w:pStyle w:val="Heading1"/>
        <w:pBdr>
          <w:bottom w:val="single" w:color="D4A843" w:sz="2"/>
        </w:pBdr>
        <w:spacing w:after="200" w:before="400"/>
      </w:pPr>
      <w:r>
        <w:rPr>
          <w:rFonts w:ascii="Calibri" w:cs="Calibri" w:eastAsia="Calibri" w:hAnsi="Calibri"/>
          <w:b/>
          <w:bCs/>
          <w:color w:val="2C2C2C"/>
          <w:sz w:val="28"/>
          <w:szCs w:val="28"/>
        </w:rPr>
        <w:t xml:space="preserve">4. Regionale Anpassungen</w:t>
      </w:r>
    </w:p>
    <w:p>
      <w:pPr>
        <w:spacing w:after="120" w:line="276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In Bundesländern mit höheren Obergrenzen (z. B. Schleswig-Holstein mit 37,37 €/h) kann der Stundensatz angehoben werden, um höhere regionale Kosten (z. B. Fahrtkosten in ländlichen Gebieten) abzudecken. Die Kalkulation wird in diesem Fall entsprechend angepasst und der zuständigen Anerkennungsbehörde vorgelegt.</w:t>
      </w:r>
    </w:p>
    <w:p>
      <w:pPr>
        <w:spacing w:after="120" w:line="276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In Berlin gilt die Besonderheit, dass juristische Personen (UG) ausschließlich haushaltsnahe Dienstleistungen anbieten dürfen. Der Stundensatz für diese Leistungen bleibt bei maximal 35,50 €/h.</w:t>
      </w:r>
    </w:p>
    <w:p>
      <w:pPr>
        <w:pBdr>
          <w:top w:val="single" w:color="D4A843" w:sz="2"/>
        </w:pBdr>
        <w:spacing w:before="400"/>
      </w:pP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2C2C2C"/>
          <w:sz w:val="22"/>
          <w:szCs w:val="22"/>
        </w:rPr>
        <w:t xml:space="preserve">Alltagsengel UG (haftungsbeschränkt)</w:t>
      </w:r>
    </w:p>
    <w:p>
      <w:pPr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Frankfurt am Main, Juli 2026</w:t>
      </w:r>
    </w:p>
    <w:sectPr>
      <w:headerReference w:type="default" r:id="rId7"/>
      <w:footerReference w:type="default" r:id="rId8"/>
      <w:pgSz w:w="11906" w:h="16838" w:orient="portrait"/>
      <w:pgMar w:top="144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A843" w:sz="1"/>
      </w:pBdr>
      <w:spacing w:before="100"/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Alltagsengel UG | Neue Mainzer Straße 66-68 | 60311 Frankfurt am Main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999999"/>
        <w:sz w:val="16"/>
        <w:szCs w:val="16"/>
      </w:rPr>
      <w:t xml:space="preserve">Alltagsengel UG — Kostenkalkulation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2026-07-25T20:50:47.596Z</dcterms:created>
  <dcterms:modified xsi:type="dcterms:W3CDTF">2026-07-25T20:50:47.596Z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